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0FBFC">
      <w:pPr>
        <w:spacing w:line="360" w:lineRule="auto"/>
        <w:rPr>
          <w:sz w:val="32"/>
          <w:szCs w:val="32"/>
          <w:u w:val="single"/>
        </w:rPr>
      </w:pPr>
      <w:r>
        <w:rPr>
          <w:rFonts w:hint="eastAsia" w:ascii="华文新魏" w:eastAsia="华文新魏"/>
          <w:sz w:val="44"/>
          <w:szCs w:val="44"/>
          <w:u w:val="single"/>
        </w:rPr>
        <w:t xml:space="preserve">浙江侨泰电力设备有限公司   </w:t>
      </w:r>
      <w:r>
        <w:rPr>
          <w:rFonts w:hint="eastAsia"/>
          <w:sz w:val="32"/>
          <w:szCs w:val="32"/>
          <w:u w:val="single"/>
        </w:rPr>
        <w:t xml:space="preserve">                                      </w:t>
      </w:r>
    </w:p>
    <w:p w14:paraId="6F7EF486">
      <w:pPr>
        <w:spacing w:afterLines="150" w:line="720" w:lineRule="exact"/>
        <w:jc w:val="center"/>
        <w:rPr>
          <w:rFonts w:ascii="黑体" w:hAnsi="黑体" w:eastAsia="黑体"/>
          <w:sz w:val="48"/>
          <w:szCs w:val="48"/>
        </w:rPr>
      </w:pPr>
    </w:p>
    <w:p w14:paraId="1CAE5C20">
      <w:pPr>
        <w:spacing w:afterLines="150" w:line="720" w:lineRule="exact"/>
        <w:jc w:val="center"/>
        <w:rPr>
          <w:rFonts w:ascii="黑体" w:hAnsi="黑体" w:eastAsia="黑体"/>
          <w:sz w:val="48"/>
          <w:szCs w:val="48"/>
        </w:rPr>
      </w:pPr>
    </w:p>
    <w:p w14:paraId="49DBA387">
      <w:pPr>
        <w:spacing w:afterLines="150" w:line="720" w:lineRule="exact"/>
        <w:jc w:val="center"/>
        <w:rPr>
          <w:rFonts w:ascii="黑体" w:hAnsi="黑体" w:eastAsia="黑体"/>
          <w:sz w:val="48"/>
          <w:szCs w:val="48"/>
        </w:rPr>
      </w:pPr>
    </w:p>
    <w:p w14:paraId="4BDCA5CC">
      <w:pPr>
        <w:spacing w:beforeLines="50" w:afterLines="150" w:line="960" w:lineRule="exact"/>
        <w:jc w:val="center"/>
        <w:rPr>
          <w:rFonts w:ascii="华文中宋" w:hAnsi="华文中宋" w:eastAsia="华文中宋"/>
          <w:sz w:val="44"/>
          <w:szCs w:val="44"/>
        </w:rPr>
      </w:pPr>
      <w:r>
        <w:rPr>
          <w:rFonts w:hint="eastAsia" w:ascii="黑体" w:hAnsi="黑体" w:eastAsia="黑体"/>
          <w:sz w:val="44"/>
          <w:szCs w:val="44"/>
        </w:rPr>
        <w:t>20</w:t>
      </w:r>
      <w:r>
        <w:rPr>
          <w:rFonts w:hint="eastAsia" w:ascii="黑体" w:hAnsi="黑体" w:eastAsia="黑体"/>
          <w:sz w:val="44"/>
          <w:szCs w:val="44"/>
          <w:lang w:val="en-US" w:eastAsia="zh-CN"/>
        </w:rPr>
        <w:t>24</w:t>
      </w:r>
      <w:r>
        <w:rPr>
          <w:rFonts w:hint="eastAsia" w:ascii="华文中宋" w:hAnsi="华文中宋" w:eastAsia="华文中宋"/>
          <w:sz w:val="44"/>
          <w:szCs w:val="44"/>
        </w:rPr>
        <w:t>～</w:t>
      </w:r>
      <w:r>
        <w:rPr>
          <w:rFonts w:hint="eastAsia" w:ascii="黑体" w:hAnsi="黑体" w:eastAsia="黑体"/>
          <w:sz w:val="44"/>
          <w:szCs w:val="44"/>
        </w:rPr>
        <w:t>202</w:t>
      </w:r>
      <w:r>
        <w:rPr>
          <w:rFonts w:hint="eastAsia" w:ascii="黑体" w:hAnsi="黑体" w:eastAsia="黑体"/>
          <w:sz w:val="44"/>
          <w:szCs w:val="44"/>
          <w:lang w:val="en-US" w:eastAsia="zh-CN"/>
        </w:rPr>
        <w:t>5</w:t>
      </w:r>
      <w:r>
        <w:rPr>
          <w:rFonts w:hint="eastAsia" w:ascii="华文中宋" w:hAnsi="华文中宋" w:eastAsia="华文中宋"/>
          <w:sz w:val="44"/>
          <w:szCs w:val="44"/>
        </w:rPr>
        <w:t>年度社会责任报告</w:t>
      </w:r>
    </w:p>
    <w:p w14:paraId="39F7900D">
      <w:pPr>
        <w:spacing w:beforeLines="50" w:afterLines="150" w:line="960" w:lineRule="exact"/>
        <w:jc w:val="center"/>
        <w:rPr>
          <w:rFonts w:ascii="华文中宋" w:hAnsi="华文中宋" w:eastAsia="华文中宋"/>
          <w:sz w:val="72"/>
          <w:szCs w:val="72"/>
        </w:rPr>
      </w:pPr>
    </w:p>
    <w:p w14:paraId="7C72455C">
      <w:pPr>
        <w:spacing w:beforeLines="50" w:line="700" w:lineRule="exact"/>
        <w:ind w:left="-105" w:leftChars="-50"/>
        <w:rPr>
          <w:sz w:val="36"/>
          <w:szCs w:val="36"/>
        </w:rPr>
      </w:pPr>
      <w:r>
        <w:rPr>
          <w:rFonts w:hint="eastAsia" w:ascii="黑体" w:eastAsia="黑体"/>
          <w:sz w:val="24"/>
          <w14:shadow w14:blurRad="50800" w14:dist="38100" w14:dir="2700000" w14:sx="100000" w14:sy="100000" w14:kx="0" w14:ky="0" w14:algn="tl">
            <w14:srgbClr w14:val="000000">
              <w14:alpha w14:val="60000"/>
            </w14:srgbClr>
          </w14:shadow>
        </w:rPr>
        <w:t xml:space="preserve">  </w:t>
      </w:r>
      <w:r>
        <w:rPr>
          <w:rFonts w:hint="eastAsia" w:ascii="宋体" w:hAnsi="宋体"/>
          <w:sz w:val="24"/>
          <w14:shadow w14:blurRad="50800" w14:dist="38100" w14:dir="2700000" w14:sx="100000" w14:sy="100000" w14:kx="0" w14:ky="0" w14:algn="tl">
            <w14:srgbClr w14:val="000000">
              <w14:alpha w14:val="60000"/>
            </w14:srgbClr>
          </w14:shadow>
        </w:rPr>
        <w:t xml:space="preserve">                   </w:t>
      </w:r>
      <w:r>
        <w:rPr>
          <w:rFonts w:hint="eastAsia" w:ascii="宋体" w:hAnsi="宋体"/>
          <w:sz w:val="36"/>
          <w:szCs w:val="36"/>
          <w14:shadow w14:blurRad="50800" w14:dist="38100" w14:dir="2700000" w14:sx="100000" w14:sy="100000" w14:kx="0" w14:ky="0" w14:algn="tl">
            <w14:srgbClr w14:val="000000">
              <w14:alpha w14:val="60000"/>
            </w14:srgbClr>
          </w14:shadow>
        </w:rPr>
        <w:t xml:space="preserve">  </w:t>
      </w:r>
    </w:p>
    <w:p w14:paraId="1492D443">
      <w:pPr>
        <w:spacing w:beforeLines="50" w:line="700" w:lineRule="exact"/>
        <w:ind w:firstLine="1920" w:firstLineChars="800"/>
        <w:rPr>
          <w:rFonts w:ascii="宋体" w:hAnsi="宋体"/>
        </w:rPr>
      </w:pPr>
      <w:r>
        <w:rPr>
          <w:rFonts w:hint="eastAsia" w:ascii="宋体" w:hAnsi="宋体"/>
          <w:sz w:val="24"/>
          <w14:shadow w14:blurRad="50800" w14:dist="38100" w14:dir="2700000" w14:sx="100000" w14:sy="100000" w14:kx="0" w14:ky="0" w14:algn="tl">
            <w14:srgbClr w14:val="000000">
              <w14:alpha w14:val="60000"/>
            </w14:srgbClr>
          </w14:shadow>
        </w:rPr>
        <w:t xml:space="preserve">                     </w:t>
      </w:r>
    </w:p>
    <w:p w14:paraId="0199670B">
      <w:pPr>
        <w:spacing w:line="360" w:lineRule="auto"/>
        <w:rPr>
          <w:rFonts w:ascii="宋体" w:hAnsi="宋体"/>
          <w:sz w:val="24"/>
          <w14:shadow w14:blurRad="50800" w14:dist="38100" w14:dir="2700000" w14:sx="100000" w14:sy="100000" w14:kx="0" w14:ky="0" w14:algn="tl">
            <w14:srgbClr w14:val="000000">
              <w14:alpha w14:val="60000"/>
            </w14:srgbClr>
          </w14:shadow>
        </w:rPr>
      </w:pPr>
    </w:p>
    <w:p w14:paraId="18B9F8FC"/>
    <w:p w14:paraId="2E1146DC"/>
    <w:p w14:paraId="4A41DB53"/>
    <w:p w14:paraId="27E21D1E"/>
    <w:p w14:paraId="6DC0CC23"/>
    <w:p w14:paraId="49A5180A"/>
    <w:p w14:paraId="48CF6539"/>
    <w:p w14:paraId="71DCF2FF"/>
    <w:p w14:paraId="224E1816"/>
    <w:p w14:paraId="7D29FF78"/>
    <w:p w14:paraId="372BC830"/>
    <w:p w14:paraId="0C969F31"/>
    <w:p w14:paraId="47960118"/>
    <w:p w14:paraId="433014D3">
      <w:pPr>
        <w:spacing w:afterLines="50" w:line="600" w:lineRule="exact"/>
        <w:jc w:val="left"/>
        <w:rPr>
          <w:rFonts w:ascii="黑体" w:hAnsi="黑体" w:eastAsia="黑体"/>
          <w:sz w:val="36"/>
          <w:szCs w:val="36"/>
        </w:rPr>
      </w:pPr>
      <w:r>
        <w:rPr>
          <w:rFonts w:hint="eastAsia" w:ascii="黑体" w:hAnsi="黑体" w:eastAsia="黑体"/>
          <w:sz w:val="36"/>
          <w:szCs w:val="36"/>
        </w:rPr>
        <w:t xml:space="preserve">              报告时间： 202</w:t>
      </w:r>
      <w:r>
        <w:rPr>
          <w:rFonts w:hint="eastAsia" w:ascii="黑体" w:hAnsi="黑体" w:eastAsia="黑体"/>
          <w:sz w:val="36"/>
          <w:szCs w:val="36"/>
          <w:lang w:val="en-US" w:eastAsia="zh-CN"/>
        </w:rPr>
        <w:t>5</w:t>
      </w:r>
      <w:r>
        <w:rPr>
          <w:rFonts w:hint="eastAsia" w:ascii="黑体" w:hAnsi="黑体" w:eastAsia="黑体"/>
          <w:sz w:val="36"/>
          <w:szCs w:val="36"/>
        </w:rPr>
        <w:t xml:space="preserve"> 年 0</w:t>
      </w:r>
      <w:r>
        <w:rPr>
          <w:rFonts w:hint="eastAsia" w:ascii="黑体" w:hAnsi="黑体" w:eastAsia="黑体"/>
          <w:sz w:val="36"/>
          <w:szCs w:val="36"/>
          <w:lang w:val="en-US" w:eastAsia="zh-CN"/>
        </w:rPr>
        <w:t>8</w:t>
      </w:r>
      <w:r>
        <w:rPr>
          <w:rFonts w:hint="eastAsia" w:ascii="黑体" w:hAnsi="黑体" w:eastAsia="黑体"/>
          <w:sz w:val="36"/>
          <w:szCs w:val="36"/>
        </w:rPr>
        <w:t xml:space="preserve">月 </w:t>
      </w:r>
      <w:r>
        <w:rPr>
          <w:rFonts w:hint="eastAsia" w:ascii="黑体" w:hAnsi="黑体" w:eastAsia="黑体"/>
          <w:sz w:val="36"/>
          <w:szCs w:val="36"/>
          <w:lang w:val="en-US" w:eastAsia="zh-CN"/>
        </w:rPr>
        <w:t>27</w:t>
      </w:r>
      <w:r>
        <w:rPr>
          <w:rFonts w:hint="eastAsia" w:ascii="黑体" w:hAnsi="黑体" w:eastAsia="黑体"/>
          <w:sz w:val="36"/>
          <w:szCs w:val="36"/>
        </w:rPr>
        <w:t>日</w:t>
      </w:r>
    </w:p>
    <w:p w14:paraId="661DF819">
      <w:pPr>
        <w:spacing w:afterLines="50" w:line="600" w:lineRule="exact"/>
        <w:jc w:val="left"/>
        <w:rPr>
          <w:rFonts w:ascii="黑体" w:hAnsi="黑体" w:eastAsia="黑体"/>
          <w:sz w:val="36"/>
          <w:szCs w:val="36"/>
        </w:rPr>
      </w:pPr>
    </w:p>
    <w:p w14:paraId="3814D636">
      <w:pPr>
        <w:sectPr>
          <w:pgSz w:w="11906" w:h="16838"/>
          <w:pgMar w:top="720" w:right="720" w:bottom="720" w:left="720" w:header="851" w:footer="992" w:gutter="0"/>
          <w:cols w:space="720" w:num="1"/>
          <w:docGrid w:type="lines" w:linePitch="312" w:charSpace="0"/>
        </w:sectPr>
      </w:pPr>
    </w:p>
    <w:p w14:paraId="6BD4712D">
      <w:pPr>
        <w:pStyle w:val="6"/>
        <w:rPr>
          <w:sz w:val="44"/>
          <w:szCs w:val="44"/>
        </w:rPr>
      </w:pPr>
      <w:r>
        <w:rPr>
          <w:rFonts w:hint="eastAsia"/>
          <w:sz w:val="44"/>
          <w:szCs w:val="44"/>
        </w:rPr>
        <w:t>前言</w:t>
      </w:r>
    </w:p>
    <w:p w14:paraId="2516E9AB">
      <w:pPr>
        <w:rPr>
          <w:sz w:val="28"/>
          <w:szCs w:val="28"/>
        </w:rPr>
      </w:pPr>
      <w:r>
        <w:rPr>
          <w:rFonts w:hint="eastAsia"/>
        </w:rPr>
        <w:t xml:space="preserve">    </w:t>
      </w:r>
      <w:r>
        <w:rPr>
          <w:rFonts w:hint="eastAsia"/>
          <w:lang w:val="en-US" w:eastAsia="zh-CN"/>
        </w:rPr>
        <w:t xml:space="preserve">  </w:t>
      </w:r>
      <w:r>
        <w:rPr>
          <w:rFonts w:hint="eastAsia"/>
          <w:sz w:val="28"/>
          <w:szCs w:val="28"/>
        </w:rPr>
        <w:t>社会责任是指企业在创造利润、追求发展、维护股东利益的同时，承担起对员工、消费者、环境和社会等方面的责任。浙江侨泰电力设备有限公司(以下简称“公司”)作为一家浙江本土民营企业，勇于承担社会责任，在公司发展的同时，不断完善法人治理结构，积极参与社会公益事业，促进公司与社会的全面、自然、协调发展。</w:t>
      </w:r>
    </w:p>
    <w:p w14:paraId="75C1F3DD">
      <w:pPr>
        <w:rPr>
          <w:sz w:val="28"/>
          <w:szCs w:val="28"/>
        </w:rPr>
      </w:pPr>
      <w:r>
        <w:rPr>
          <w:rFonts w:hint="eastAsia"/>
        </w:rPr>
        <w:t xml:space="preserve">    </w:t>
      </w:r>
      <w:r>
        <w:rPr>
          <w:rFonts w:hint="eastAsia"/>
          <w:sz w:val="28"/>
          <w:szCs w:val="28"/>
        </w:rPr>
        <w:t>本报告是根据公司20</w:t>
      </w:r>
      <w:r>
        <w:rPr>
          <w:rFonts w:hint="eastAsia"/>
          <w:sz w:val="28"/>
          <w:szCs w:val="28"/>
          <w:lang w:val="en-US" w:eastAsia="zh-CN"/>
        </w:rPr>
        <w:t>24</w:t>
      </w:r>
      <w:r>
        <w:rPr>
          <w:rFonts w:hint="eastAsia"/>
          <w:sz w:val="28"/>
          <w:szCs w:val="28"/>
        </w:rPr>
        <w:t>～202</w:t>
      </w:r>
      <w:r>
        <w:rPr>
          <w:rFonts w:hint="eastAsia"/>
          <w:sz w:val="28"/>
          <w:szCs w:val="28"/>
          <w:lang w:val="en-US" w:eastAsia="zh-CN"/>
        </w:rPr>
        <w:t>5</w:t>
      </w:r>
      <w:r>
        <w:rPr>
          <w:rFonts w:hint="eastAsia"/>
          <w:sz w:val="28"/>
          <w:szCs w:val="28"/>
        </w:rPr>
        <w:t>年在履行社会责任方面的具体情况编制的，旨在真实地反映公司在履行社会责任方面的实践，客观总结公司履行社会责任的状况，以促进公司全面健康发展。</w:t>
      </w:r>
    </w:p>
    <w:p w14:paraId="0E3DCD96">
      <w:pPr>
        <w:rPr>
          <w:sz w:val="28"/>
          <w:szCs w:val="28"/>
        </w:rPr>
      </w:pPr>
      <w:r>
        <w:rPr>
          <w:rFonts w:hint="eastAsia"/>
          <w:sz w:val="28"/>
          <w:szCs w:val="28"/>
        </w:rPr>
        <w:t xml:space="preserve">    本公司郑重保证：本报告内容不存在任何虚假信息、误导性陈述或者重大遗漏，并对其内容的真实性、准确性和完整性承担责任。</w:t>
      </w:r>
    </w:p>
    <w:p w14:paraId="6F73CE42">
      <w:pPr>
        <w:rPr>
          <w:sz w:val="28"/>
          <w:szCs w:val="28"/>
        </w:rPr>
      </w:pPr>
      <w:r>
        <w:rPr>
          <w:rFonts w:hint="eastAsia"/>
          <w:sz w:val="28"/>
          <w:szCs w:val="28"/>
        </w:rPr>
        <w:t xml:space="preserve">    报告时间范围：</w:t>
      </w:r>
    </w:p>
    <w:p w14:paraId="605B8466">
      <w:pPr>
        <w:rPr>
          <w:sz w:val="28"/>
          <w:szCs w:val="28"/>
        </w:rPr>
      </w:pPr>
      <w:r>
        <w:rPr>
          <w:rFonts w:hint="eastAsia"/>
          <w:sz w:val="28"/>
          <w:szCs w:val="28"/>
        </w:rPr>
        <w:t xml:space="preserve">    20</w:t>
      </w:r>
      <w:r>
        <w:rPr>
          <w:rFonts w:hint="eastAsia"/>
          <w:sz w:val="28"/>
          <w:szCs w:val="28"/>
          <w:lang w:val="en-US" w:eastAsia="zh-CN"/>
        </w:rPr>
        <w:t>24</w:t>
      </w:r>
      <w:r>
        <w:rPr>
          <w:rFonts w:hint="eastAsia"/>
          <w:sz w:val="28"/>
          <w:szCs w:val="28"/>
        </w:rPr>
        <w:t xml:space="preserve"> 年 0</w:t>
      </w:r>
      <w:r>
        <w:rPr>
          <w:rFonts w:hint="eastAsia"/>
          <w:sz w:val="28"/>
          <w:szCs w:val="28"/>
          <w:lang w:val="en-US" w:eastAsia="zh-CN"/>
        </w:rPr>
        <w:t>8</w:t>
      </w:r>
      <w:r>
        <w:rPr>
          <w:rFonts w:hint="eastAsia"/>
          <w:sz w:val="28"/>
          <w:szCs w:val="28"/>
        </w:rPr>
        <w:t xml:space="preserve">月 </w:t>
      </w:r>
      <w:r>
        <w:rPr>
          <w:rFonts w:hint="eastAsia"/>
          <w:sz w:val="28"/>
          <w:szCs w:val="28"/>
          <w:lang w:val="en-US" w:eastAsia="zh-CN"/>
        </w:rPr>
        <w:t>27</w:t>
      </w:r>
      <w:r>
        <w:rPr>
          <w:rFonts w:hint="eastAsia"/>
          <w:sz w:val="28"/>
          <w:szCs w:val="28"/>
        </w:rPr>
        <w:t>日至 202</w:t>
      </w:r>
      <w:r>
        <w:rPr>
          <w:rFonts w:hint="eastAsia"/>
          <w:sz w:val="28"/>
          <w:szCs w:val="28"/>
          <w:lang w:val="en-US" w:eastAsia="zh-CN"/>
        </w:rPr>
        <w:t>5</w:t>
      </w:r>
      <w:r>
        <w:rPr>
          <w:rFonts w:hint="eastAsia"/>
          <w:sz w:val="28"/>
          <w:szCs w:val="28"/>
        </w:rPr>
        <w:t>年 0</w:t>
      </w:r>
      <w:r>
        <w:rPr>
          <w:rFonts w:hint="eastAsia"/>
          <w:sz w:val="28"/>
          <w:szCs w:val="28"/>
          <w:lang w:val="en-US" w:eastAsia="zh-CN"/>
        </w:rPr>
        <w:t>8</w:t>
      </w:r>
      <w:r>
        <w:rPr>
          <w:rFonts w:hint="eastAsia"/>
          <w:sz w:val="28"/>
          <w:szCs w:val="28"/>
        </w:rPr>
        <w:t xml:space="preserve">月 </w:t>
      </w:r>
      <w:r>
        <w:rPr>
          <w:rFonts w:hint="eastAsia"/>
          <w:sz w:val="28"/>
          <w:szCs w:val="28"/>
          <w:lang w:val="en-US" w:eastAsia="zh-CN"/>
        </w:rPr>
        <w:t>26</w:t>
      </w:r>
      <w:r>
        <w:rPr>
          <w:rFonts w:hint="eastAsia"/>
          <w:sz w:val="28"/>
          <w:szCs w:val="28"/>
        </w:rPr>
        <w:t xml:space="preserve"> 日</w:t>
      </w:r>
    </w:p>
    <w:p w14:paraId="5874CEB1">
      <w:pPr>
        <w:rPr>
          <w:sz w:val="28"/>
          <w:szCs w:val="28"/>
        </w:rPr>
      </w:pPr>
      <w:r>
        <w:rPr>
          <w:rFonts w:hint="eastAsia"/>
          <w:sz w:val="28"/>
          <w:szCs w:val="28"/>
        </w:rPr>
        <w:t xml:space="preserve">    本报告编制依据：</w:t>
      </w:r>
    </w:p>
    <w:p w14:paraId="794D42D7">
      <w:pPr>
        <w:rPr>
          <w:sz w:val="28"/>
          <w:szCs w:val="28"/>
        </w:rPr>
      </w:pPr>
      <w:r>
        <w:rPr>
          <w:rFonts w:hint="eastAsia"/>
          <w:sz w:val="28"/>
          <w:szCs w:val="28"/>
        </w:rPr>
        <w:t xml:space="preserve">    GB</w:t>
      </w:r>
      <w:r>
        <w:rPr>
          <w:rFonts w:hint="eastAsia" w:ascii="华文中宋" w:hAnsi="华文中宋" w:eastAsia="华文中宋"/>
          <w:sz w:val="24"/>
        </w:rPr>
        <w:t>/</w:t>
      </w:r>
      <w:r>
        <w:rPr>
          <w:rFonts w:hint="eastAsia"/>
          <w:sz w:val="28"/>
          <w:szCs w:val="28"/>
        </w:rPr>
        <w:t>T 36000-2015《社会责任指南》</w:t>
      </w:r>
    </w:p>
    <w:p w14:paraId="110AAC9F">
      <w:pPr>
        <w:rPr>
          <w:sz w:val="28"/>
          <w:szCs w:val="28"/>
        </w:rPr>
      </w:pPr>
      <w:r>
        <w:rPr>
          <w:rFonts w:hint="eastAsia"/>
          <w:sz w:val="28"/>
          <w:szCs w:val="28"/>
        </w:rPr>
        <w:t xml:space="preserve">    GB</w:t>
      </w:r>
      <w:r>
        <w:rPr>
          <w:rFonts w:hint="eastAsia" w:ascii="华文中宋" w:hAnsi="华文中宋" w:eastAsia="华文中宋"/>
          <w:sz w:val="24"/>
        </w:rPr>
        <w:t>/</w:t>
      </w:r>
      <w:r>
        <w:rPr>
          <w:rFonts w:hint="eastAsia"/>
          <w:sz w:val="28"/>
          <w:szCs w:val="28"/>
        </w:rPr>
        <w:t>T36001-2015《社会责任报告编写指南》</w:t>
      </w:r>
    </w:p>
    <w:p w14:paraId="050274CE">
      <w:pPr>
        <w:rPr>
          <w:sz w:val="28"/>
          <w:szCs w:val="28"/>
        </w:rPr>
      </w:pPr>
      <w:r>
        <w:rPr>
          <w:rFonts w:hint="eastAsia"/>
          <w:sz w:val="28"/>
          <w:szCs w:val="28"/>
        </w:rPr>
        <w:t xml:space="preserve">    GB</w:t>
      </w:r>
      <w:r>
        <w:rPr>
          <w:rFonts w:hint="eastAsia" w:ascii="华文中宋" w:hAnsi="华文中宋" w:eastAsia="华文中宋"/>
          <w:sz w:val="24"/>
        </w:rPr>
        <w:t>/</w:t>
      </w:r>
      <w:r>
        <w:rPr>
          <w:rFonts w:hint="eastAsia"/>
          <w:sz w:val="28"/>
          <w:szCs w:val="28"/>
        </w:rPr>
        <w:t>T 36002-2015《社会责任绩效分类指引》</w:t>
      </w:r>
    </w:p>
    <w:p w14:paraId="3F7A8AFD">
      <w:pPr>
        <w:rPr>
          <w:sz w:val="28"/>
          <w:szCs w:val="28"/>
        </w:rPr>
      </w:pPr>
      <w:r>
        <w:rPr>
          <w:rFonts w:hint="eastAsia"/>
          <w:sz w:val="28"/>
          <w:szCs w:val="28"/>
        </w:rPr>
        <w:t xml:space="preserve">    报告发布形式：</w:t>
      </w:r>
    </w:p>
    <w:p w14:paraId="5C666BD3">
      <w:pPr>
        <w:rPr>
          <w:sz w:val="28"/>
          <w:szCs w:val="28"/>
        </w:rPr>
      </w:pPr>
      <w:r>
        <w:rPr>
          <w:rFonts w:hint="eastAsia"/>
          <w:sz w:val="28"/>
          <w:szCs w:val="28"/>
        </w:rPr>
        <w:t xml:space="preserve">    本报告可在公司网站（http://www.</w:t>
      </w:r>
      <w:r>
        <w:rPr>
          <w:rFonts w:hint="eastAsia"/>
          <w:sz w:val="28"/>
          <w:szCs w:val="28"/>
          <w:lang w:val="en-US" w:eastAsia="zh-CN"/>
        </w:rPr>
        <w:t>qiaotai</w:t>
      </w:r>
      <w:r>
        <w:rPr>
          <w:rFonts w:hint="eastAsia"/>
          <w:sz w:val="28"/>
          <w:szCs w:val="28"/>
        </w:rPr>
        <w:t>.com）查阅。</w:t>
      </w:r>
    </w:p>
    <w:p w14:paraId="1323AB61">
      <w:pPr>
        <w:spacing w:line="360" w:lineRule="exact"/>
        <w:rPr>
          <w:sz w:val="28"/>
          <w:szCs w:val="28"/>
        </w:rPr>
      </w:pPr>
    </w:p>
    <w:p w14:paraId="659CFA0F">
      <w:pPr>
        <w:spacing w:line="360" w:lineRule="exact"/>
        <w:rPr>
          <w:sz w:val="28"/>
          <w:szCs w:val="28"/>
        </w:rPr>
      </w:pPr>
      <w:r>
        <w:rPr>
          <w:rFonts w:hint="eastAsia"/>
          <w:sz w:val="28"/>
          <w:szCs w:val="28"/>
        </w:rPr>
        <w:t>　　　　　　　　　　　　　　　　　　</w:t>
      </w:r>
    </w:p>
    <w:p w14:paraId="63186915">
      <w:pPr>
        <w:spacing w:line="360" w:lineRule="exact"/>
        <w:rPr>
          <w:sz w:val="28"/>
          <w:szCs w:val="28"/>
        </w:rPr>
      </w:pPr>
    </w:p>
    <w:p w14:paraId="496C8866">
      <w:pPr>
        <w:spacing w:line="360" w:lineRule="exact"/>
        <w:rPr>
          <w:sz w:val="28"/>
          <w:szCs w:val="28"/>
        </w:rPr>
      </w:pPr>
    </w:p>
    <w:p w14:paraId="42BF2DF2">
      <w:pPr>
        <w:spacing w:line="360" w:lineRule="exact"/>
        <w:rPr>
          <w:sz w:val="28"/>
          <w:szCs w:val="28"/>
        </w:rPr>
      </w:pPr>
    </w:p>
    <w:p w14:paraId="7541455A">
      <w:pPr>
        <w:spacing w:line="360" w:lineRule="exact"/>
        <w:rPr>
          <w:sz w:val="28"/>
          <w:szCs w:val="28"/>
        </w:rPr>
      </w:pPr>
      <w:r>
        <w:rPr>
          <w:rFonts w:hint="eastAsia"/>
          <w:sz w:val="28"/>
          <w:szCs w:val="28"/>
        </w:rPr>
        <w:t>　　　　　　　　　　　　　　　　</w:t>
      </w:r>
    </w:p>
    <w:p w14:paraId="3646C02A">
      <w:pPr>
        <w:pStyle w:val="6"/>
        <w:spacing w:before="480" w:line="960" w:lineRule="exact"/>
        <w:rPr>
          <w:sz w:val="44"/>
          <w:szCs w:val="44"/>
        </w:rPr>
      </w:pPr>
      <w:r>
        <w:rPr>
          <w:rFonts w:hint="eastAsia"/>
          <w:sz w:val="44"/>
          <w:szCs w:val="44"/>
        </w:rPr>
        <w:t>总经理致辞</w:t>
      </w:r>
    </w:p>
    <w:p w14:paraId="70F27871">
      <w:pPr>
        <w:spacing w:beforeLines="100" w:line="480" w:lineRule="exact"/>
        <w:rPr>
          <w:sz w:val="28"/>
          <w:szCs w:val="28"/>
        </w:rPr>
      </w:pPr>
      <w:r>
        <w:rPr>
          <w:rFonts w:hint="eastAsia"/>
          <w:sz w:val="28"/>
          <w:szCs w:val="28"/>
        </w:rPr>
        <w:t>尊敬的各界朋友：</w:t>
      </w:r>
    </w:p>
    <w:p w14:paraId="06938F63">
      <w:pPr>
        <w:spacing w:line="480" w:lineRule="exact"/>
        <w:rPr>
          <w:sz w:val="28"/>
          <w:szCs w:val="28"/>
        </w:rPr>
      </w:pPr>
      <w:r>
        <w:rPr>
          <w:rFonts w:hint="eastAsia"/>
          <w:sz w:val="28"/>
          <w:szCs w:val="28"/>
        </w:rPr>
        <w:t xml:space="preserve">     20</w:t>
      </w:r>
      <w:r>
        <w:rPr>
          <w:rFonts w:hint="eastAsia"/>
          <w:sz w:val="28"/>
          <w:szCs w:val="28"/>
          <w:lang w:val="en-US" w:eastAsia="zh-CN"/>
        </w:rPr>
        <w:t>24</w:t>
      </w:r>
      <w:r>
        <w:rPr>
          <w:rFonts w:hint="eastAsia"/>
          <w:sz w:val="28"/>
          <w:szCs w:val="28"/>
        </w:rPr>
        <w:t>～20</w:t>
      </w:r>
      <w:r>
        <w:rPr>
          <w:rFonts w:hint="eastAsia"/>
          <w:sz w:val="28"/>
          <w:szCs w:val="28"/>
          <w:lang w:val="en-US" w:eastAsia="zh-CN"/>
        </w:rPr>
        <w:t>25</w:t>
      </w:r>
      <w:r>
        <w:rPr>
          <w:rFonts w:hint="eastAsia"/>
          <w:sz w:val="28"/>
          <w:szCs w:val="28"/>
        </w:rPr>
        <w:t>年，全球经济环境</w:t>
      </w:r>
      <w:r>
        <w:rPr>
          <w:rFonts w:hint="eastAsia"/>
          <w:sz w:val="28"/>
          <w:szCs w:val="28"/>
          <w:lang w:eastAsia="zh-CN"/>
        </w:rPr>
        <w:t>受影响</w:t>
      </w:r>
      <w:r>
        <w:rPr>
          <w:rFonts w:hint="eastAsia"/>
          <w:sz w:val="28"/>
          <w:szCs w:val="28"/>
        </w:rPr>
        <w:t>，面临诸多不确定性。面对大经济、政策环境带来的机遇和挑战，本公司始终坚持以“</w:t>
      </w:r>
      <w:r>
        <w:rPr>
          <w:rFonts w:hint="eastAsia"/>
          <w:sz w:val="28"/>
          <w:szCs w:val="28"/>
          <w:lang w:eastAsia="zh-CN"/>
        </w:rPr>
        <w:t>为电力事业做出卓越贡献</w:t>
      </w:r>
      <w:r>
        <w:rPr>
          <w:rFonts w:hint="eastAsia"/>
          <w:sz w:val="28"/>
          <w:szCs w:val="28"/>
        </w:rPr>
        <w:t>”为使命，秉承“</w:t>
      </w:r>
      <w:r>
        <w:rPr>
          <w:rFonts w:hint="eastAsia"/>
          <w:sz w:val="28"/>
          <w:szCs w:val="28"/>
          <w:lang w:eastAsia="zh-CN"/>
        </w:rPr>
        <w:t>创新、关爱，为客户不断创造价值</w:t>
      </w:r>
      <w:r>
        <w:rPr>
          <w:rFonts w:hint="eastAsia"/>
          <w:sz w:val="28"/>
          <w:szCs w:val="28"/>
        </w:rPr>
        <w:t>”的核心价值观和“诚信立企、和谐兴企、科技强企”的企业文化，立足“质量是立企之本，创新是强企之源”的宗旨，大胆进行体制机制创新和技术装备创新，利用高新技术改造传统产业，利用技术改造使产品脱胎换骨，利用资本市场平台助推企业转型升级，增强企业核心竞争力和价值观的体现。高度的使命感和高效的企业文化保证了企业的快速、持续发展。</w:t>
      </w:r>
    </w:p>
    <w:p w14:paraId="1AB2D70F">
      <w:pPr>
        <w:spacing w:line="480" w:lineRule="exact"/>
        <w:rPr>
          <w:sz w:val="28"/>
          <w:szCs w:val="28"/>
        </w:rPr>
      </w:pPr>
      <w:r>
        <w:rPr>
          <w:rFonts w:hint="eastAsia"/>
          <w:sz w:val="28"/>
          <w:szCs w:val="28"/>
        </w:rPr>
        <w:t xml:space="preserve">    在企业不断发展的同时，公司高层怀着高度的使命感和强烈的责任感，坚持以回馈社会为己任，积极主动履行法律义务和承担社会责任。自19</w:t>
      </w:r>
      <w:r>
        <w:rPr>
          <w:rFonts w:hint="eastAsia"/>
          <w:sz w:val="28"/>
          <w:szCs w:val="28"/>
          <w:lang w:val="en-US" w:eastAsia="zh-CN"/>
        </w:rPr>
        <w:t>94</w:t>
      </w:r>
      <w:r>
        <w:rPr>
          <w:rFonts w:hint="eastAsia"/>
          <w:sz w:val="28"/>
          <w:szCs w:val="28"/>
        </w:rPr>
        <w:t>年建厂以来，把“以品德来管理企业，以品质来发展企业，以品牌来塑造企业”作为公司的发展理念， 把</w:t>
      </w:r>
    </w:p>
    <w:p w14:paraId="2C9836BA">
      <w:pPr>
        <w:spacing w:line="480" w:lineRule="exact"/>
        <w:rPr>
          <w:sz w:val="28"/>
          <w:szCs w:val="28"/>
        </w:rPr>
      </w:pPr>
      <w:r>
        <w:rPr>
          <w:rFonts w:hint="eastAsia"/>
          <w:sz w:val="28"/>
          <w:szCs w:val="28"/>
        </w:rPr>
        <w:t>不断推进企业社会责任长效机制作为企业总体战略体系的重要环节，循序渐进地将可持续发展战略推进到每一个业务环节。围绕公司核心业务，坚持产品创新和管理提升。</w:t>
      </w:r>
    </w:p>
    <w:p w14:paraId="401D3F69">
      <w:pPr>
        <w:spacing w:line="480" w:lineRule="exact"/>
        <w:rPr>
          <w:sz w:val="28"/>
          <w:szCs w:val="28"/>
        </w:rPr>
      </w:pPr>
      <w:r>
        <w:rPr>
          <w:rFonts w:hint="eastAsia"/>
          <w:sz w:val="28"/>
          <w:szCs w:val="28"/>
        </w:rPr>
        <w:t>在产品与服务的可持续发展方面，我们将产品质量和安全生产视为保证企业乃至整个社会可持续发展的关键。质量、环境和职业健康安全是现代企业不容忽视的长期追求目标，为不断提升公司质量、环境、职业健康安全管理水平，本公司通过坚持多年实施质量、环境、职业健康安全管理体系认证，实现产品质量、环境保护和职业健康安全管理的不断创新。</w:t>
      </w:r>
    </w:p>
    <w:p w14:paraId="69821F8F">
      <w:pPr>
        <w:spacing w:line="480" w:lineRule="exact"/>
        <w:ind w:firstLine="560"/>
        <w:rPr>
          <w:sz w:val="28"/>
          <w:szCs w:val="28"/>
        </w:rPr>
      </w:pPr>
      <w:r>
        <w:rPr>
          <w:rFonts w:hint="eastAsia"/>
          <w:sz w:val="28"/>
          <w:szCs w:val="28"/>
        </w:rPr>
        <w:t>今后，浙江</w:t>
      </w:r>
      <w:r>
        <w:rPr>
          <w:rFonts w:hint="eastAsia"/>
          <w:sz w:val="28"/>
          <w:szCs w:val="28"/>
          <w:lang w:eastAsia="zh-CN"/>
        </w:rPr>
        <w:t>侨泰电力设备</w:t>
      </w:r>
      <w:r>
        <w:rPr>
          <w:rFonts w:hint="eastAsia"/>
          <w:sz w:val="28"/>
          <w:szCs w:val="28"/>
        </w:rPr>
        <w:t>有限公司将进一步在公司治理、经济、环境健康与安全、产品和服务、员工和社会方面不断进取，积极承担现代企业的社会责任。我们将通过不断实践，积极履行社会责任，努力实现企业与社会、环境的全面协调。</w:t>
      </w:r>
    </w:p>
    <w:p w14:paraId="28455A42">
      <w:pPr>
        <w:spacing w:line="480" w:lineRule="exact"/>
        <w:ind w:firstLine="560"/>
        <w:rPr>
          <w:sz w:val="28"/>
          <w:szCs w:val="28"/>
        </w:rPr>
      </w:pPr>
    </w:p>
    <w:p w14:paraId="3DF1860C">
      <w:pPr>
        <w:spacing w:line="480" w:lineRule="exact"/>
        <w:ind w:firstLine="560"/>
        <w:rPr>
          <w:sz w:val="28"/>
          <w:szCs w:val="28"/>
        </w:rPr>
      </w:pPr>
    </w:p>
    <w:p w14:paraId="18850592">
      <w:pPr>
        <w:rPr>
          <w:sz w:val="28"/>
          <w:szCs w:val="28"/>
        </w:rPr>
      </w:pPr>
      <w:r>
        <w:rPr>
          <w:rFonts w:hint="eastAsia"/>
          <w:sz w:val="28"/>
          <w:szCs w:val="28"/>
        </w:rPr>
        <w:t xml:space="preserve">                                              总经理（签名）：</w:t>
      </w:r>
      <w:r>
        <w:rPr>
          <w:rFonts w:hint="eastAsia" w:ascii="黑体" w:hAnsi="黑体" w:eastAsia="黑体" w:cs="黑体"/>
          <w:sz w:val="28"/>
          <w:szCs w:val="28"/>
        </w:rPr>
        <w:t>黄肇杰</w:t>
      </w:r>
    </w:p>
    <w:p w14:paraId="2AE477B6">
      <w:pPr>
        <w:spacing w:line="360" w:lineRule="exact"/>
        <w:rPr>
          <w:sz w:val="28"/>
          <w:szCs w:val="28"/>
        </w:rPr>
      </w:pPr>
      <w:r>
        <w:rPr>
          <w:rFonts w:hint="eastAsia"/>
          <w:sz w:val="28"/>
          <w:szCs w:val="28"/>
        </w:rPr>
        <w:t>　　　　　　　　　　　　　　　</w:t>
      </w:r>
    </w:p>
    <w:p w14:paraId="361E9F63">
      <w:pPr>
        <w:pStyle w:val="5"/>
        <w:widowControl/>
        <w:adjustRightInd w:val="0"/>
        <w:spacing w:before="100" w:after="100" w:line="500" w:lineRule="exact"/>
        <w:rPr>
          <w:rFonts w:hint="eastAsia" w:ascii="宋体" w:hAnsi="宋体" w:eastAsia="宋体" w:cs="宋体"/>
          <w:color w:val="333333"/>
          <w:sz w:val="28"/>
          <w:szCs w:val="28"/>
        </w:rPr>
      </w:pPr>
    </w:p>
    <w:p w14:paraId="253197A1">
      <w:pPr>
        <w:pStyle w:val="5"/>
        <w:widowControl/>
        <w:adjustRightInd w:val="0"/>
        <w:spacing w:before="100" w:after="100" w:line="500" w:lineRule="exact"/>
        <w:rPr>
          <w:rFonts w:ascii="宋体" w:hAnsi="宋体"/>
          <w:b/>
          <w:sz w:val="28"/>
          <w:szCs w:val="28"/>
        </w:rPr>
      </w:pPr>
    </w:p>
    <w:p w14:paraId="70993156">
      <w:pPr>
        <w:pStyle w:val="5"/>
        <w:widowControl/>
        <w:adjustRightInd w:val="0"/>
        <w:spacing w:before="100" w:after="100" w:line="500" w:lineRule="exact"/>
        <w:rPr>
          <w:rFonts w:ascii="宋体" w:hAnsi="宋体"/>
          <w:b/>
          <w:sz w:val="28"/>
          <w:szCs w:val="28"/>
        </w:rPr>
      </w:pPr>
      <w:r>
        <w:rPr>
          <w:rFonts w:hint="eastAsia" w:ascii="宋体" w:hAnsi="宋体" w:eastAsia="宋体"/>
          <w:b/>
          <w:sz w:val="28"/>
          <w:szCs w:val="28"/>
        </w:rPr>
        <w:t>一、公司概况：</w:t>
      </w:r>
    </w:p>
    <w:p w14:paraId="42D5D9AE">
      <w:pPr>
        <w:pStyle w:val="5"/>
        <w:widowControl/>
        <w:adjustRightInd w:val="0"/>
        <w:spacing w:before="100" w:after="100" w:line="500" w:lineRule="exact"/>
        <w:rPr>
          <w:rFonts w:ascii="宋体" w:hAnsi="宋体" w:eastAsia="宋体" w:cs="宋体"/>
          <w:sz w:val="28"/>
          <w:szCs w:val="28"/>
        </w:rPr>
      </w:pPr>
      <w:r>
        <w:rPr>
          <w:rFonts w:hint="eastAsia" w:ascii="宋体" w:hAnsi="宋体" w:eastAsia="宋体" w:cs="宋体"/>
          <w:color w:val="333333"/>
          <w:sz w:val="28"/>
          <w:szCs w:val="28"/>
        </w:rPr>
        <w:t xml:space="preserve">    浙江侨泰电力设备有限公司（以下简称“公司”或“侨泰”）于199</w:t>
      </w:r>
      <w:r>
        <w:rPr>
          <w:rFonts w:hint="eastAsia" w:ascii="宋体" w:hAnsi="宋体" w:eastAsia="宋体" w:cs="宋体"/>
          <w:color w:val="333333"/>
          <w:sz w:val="28"/>
          <w:szCs w:val="28"/>
          <w:lang w:val="en-US" w:eastAsia="zh-CN"/>
        </w:rPr>
        <w:t>4</w:t>
      </w:r>
      <w:r>
        <w:rPr>
          <w:rFonts w:hint="eastAsia" w:ascii="宋体" w:hAnsi="宋体" w:eastAsia="宋体" w:cs="宋体"/>
          <w:color w:val="333333"/>
          <w:sz w:val="28"/>
          <w:szCs w:val="28"/>
        </w:rPr>
        <w:t>年成立，</w:t>
      </w:r>
      <w:r>
        <w:rPr>
          <w:rFonts w:hint="eastAsia" w:ascii="宋体" w:hAnsi="宋体" w:eastAsia="宋体" w:cs="宋体"/>
          <w:sz w:val="28"/>
          <w:szCs w:val="28"/>
        </w:rPr>
        <w:t>是一家集科研、开发、制造、贸易、服务于一体的国内专业电力金具、电线电缆附件的单位。</w:t>
      </w:r>
    </w:p>
    <w:p w14:paraId="6B971416">
      <w:pPr>
        <w:pStyle w:val="5"/>
        <w:widowControl/>
        <w:adjustRightInd w:val="0"/>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公司围绕“用品质创造价值”的经营理念，立足自身研发力量，充分利用自身的规模优势和品牌优势，进一步提升产品质量、丰富产品种类和提高产品档次，开发新产品和新材料，并进行产业链上下游延伸，增强公司在产业链各环节的竞争力。</w:t>
      </w:r>
    </w:p>
    <w:p w14:paraId="17F3FECD">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在发展的过程中，公司秉承“用品质创造价值”的价值观，坚持经济效益与社会贡献相统一，在不断提升企业经营业绩的同时，致力于与社会、自然协调发展，利益相关方和谐共赢，自觉把社会责任融入到企业战略、文化和生产经营的全过程，以自身发展影响和带动地方经济的振兴，积极履行社会责任，全面提升企业价值。本报告结合公司 20</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 xml:space="preserve"> ～202</w:t>
      </w:r>
      <w:r>
        <w:rPr>
          <w:rFonts w:hint="eastAsia" w:ascii="宋体" w:hAnsi="宋体" w:eastAsia="宋体" w:cs="宋体"/>
          <w:color w:val="333333"/>
          <w:sz w:val="28"/>
          <w:szCs w:val="28"/>
          <w:lang w:val="en-US" w:eastAsia="zh-CN"/>
        </w:rPr>
        <w:t>4</w:t>
      </w:r>
      <w:r>
        <w:rPr>
          <w:rFonts w:hint="eastAsia" w:ascii="宋体" w:hAnsi="宋体" w:eastAsia="宋体" w:cs="宋体"/>
          <w:color w:val="333333"/>
          <w:sz w:val="28"/>
          <w:szCs w:val="28"/>
        </w:rPr>
        <w:t>年度在履行社会责任方面的具体情况编制，是对公司在 20</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～202</w:t>
      </w:r>
      <w:r>
        <w:rPr>
          <w:rFonts w:hint="eastAsia" w:ascii="宋体" w:hAnsi="宋体" w:eastAsia="宋体" w:cs="宋体"/>
          <w:color w:val="333333"/>
          <w:sz w:val="28"/>
          <w:szCs w:val="28"/>
          <w:lang w:val="en-US" w:eastAsia="zh-CN"/>
        </w:rPr>
        <w:t>4</w:t>
      </w:r>
      <w:r>
        <w:rPr>
          <w:rFonts w:hint="eastAsia" w:ascii="宋体" w:hAnsi="宋体" w:eastAsia="宋体" w:cs="宋体"/>
          <w:color w:val="333333"/>
          <w:sz w:val="28"/>
          <w:szCs w:val="28"/>
        </w:rPr>
        <w:t>年度履行社会责任、推进实现可持续发展相关工作的总结。公司在努力创造股东价值、保护股东权益的同时，高度重视国家和社会的可持续发展、环境保护、自然资源节约政策，维护股东、债权人、员工、客户、消费者、供应商等利益相关方的权益，旨在让客户、股东、员工、供应商及合作伙伴、政府、非政府组织、社区等利益相关者，了解公司在履行社会责任、建设和谐社会过程中所付出的努力和取得的成效，希望社会各界通过本报告进一步了解认识公司，也希望借此机会接受公众的监督。本报告时间范围为20</w:t>
      </w:r>
      <w:r>
        <w:rPr>
          <w:rFonts w:hint="eastAsia" w:ascii="宋体" w:hAnsi="宋体" w:eastAsia="宋体" w:cs="宋体"/>
          <w:color w:val="333333"/>
          <w:sz w:val="28"/>
          <w:szCs w:val="28"/>
          <w:lang w:val="en-US" w:eastAsia="zh-CN"/>
        </w:rPr>
        <w:t>24</w:t>
      </w:r>
      <w:r>
        <w:rPr>
          <w:rFonts w:hint="eastAsia" w:ascii="宋体" w:hAnsi="宋体" w:eastAsia="宋体" w:cs="宋体"/>
          <w:color w:val="333333"/>
          <w:sz w:val="28"/>
          <w:szCs w:val="28"/>
        </w:rPr>
        <w:t xml:space="preserve">年 </w:t>
      </w:r>
      <w:r>
        <w:rPr>
          <w:rFonts w:hint="eastAsia" w:ascii="宋体" w:hAnsi="宋体" w:eastAsia="宋体" w:cs="宋体"/>
          <w:color w:val="333333"/>
          <w:sz w:val="28"/>
          <w:szCs w:val="28"/>
          <w:lang w:val="en-US" w:eastAsia="zh-CN"/>
        </w:rPr>
        <w:t>08</w:t>
      </w:r>
      <w:r>
        <w:rPr>
          <w:rFonts w:hint="eastAsia" w:ascii="宋体" w:hAnsi="宋体" w:eastAsia="宋体" w:cs="宋体"/>
          <w:color w:val="333333"/>
          <w:sz w:val="28"/>
          <w:szCs w:val="28"/>
        </w:rPr>
        <w:t xml:space="preserve"> 月 </w:t>
      </w:r>
      <w:r>
        <w:rPr>
          <w:rFonts w:hint="eastAsia" w:ascii="宋体" w:hAnsi="宋体" w:eastAsia="宋体" w:cs="宋体"/>
          <w:color w:val="333333"/>
          <w:sz w:val="28"/>
          <w:szCs w:val="28"/>
          <w:lang w:val="en-US" w:eastAsia="zh-CN"/>
        </w:rPr>
        <w:t>27</w:t>
      </w:r>
      <w:r>
        <w:rPr>
          <w:rFonts w:hint="eastAsia" w:ascii="宋体" w:hAnsi="宋体" w:eastAsia="宋体" w:cs="宋体"/>
          <w:color w:val="333333"/>
          <w:sz w:val="28"/>
          <w:szCs w:val="28"/>
        </w:rPr>
        <w:t>日至202</w:t>
      </w:r>
      <w:r>
        <w:rPr>
          <w:rFonts w:hint="eastAsia" w:ascii="宋体" w:hAnsi="宋体" w:eastAsia="宋体" w:cs="宋体"/>
          <w:color w:val="333333"/>
          <w:sz w:val="28"/>
          <w:szCs w:val="28"/>
          <w:lang w:val="en-US" w:eastAsia="zh-CN"/>
        </w:rPr>
        <w:t>5</w:t>
      </w:r>
      <w:r>
        <w:rPr>
          <w:rFonts w:hint="eastAsia" w:ascii="宋体" w:hAnsi="宋体" w:eastAsia="宋体" w:cs="宋体"/>
          <w:color w:val="333333"/>
          <w:sz w:val="28"/>
          <w:szCs w:val="28"/>
        </w:rPr>
        <w:t xml:space="preserve">年 </w:t>
      </w:r>
      <w:r>
        <w:rPr>
          <w:rFonts w:hint="eastAsia" w:ascii="宋体" w:hAnsi="宋体" w:eastAsia="宋体" w:cs="宋体"/>
          <w:color w:val="333333"/>
          <w:sz w:val="28"/>
          <w:szCs w:val="28"/>
          <w:lang w:val="en-US" w:eastAsia="zh-CN"/>
        </w:rPr>
        <w:t>08</w:t>
      </w:r>
      <w:r>
        <w:rPr>
          <w:rFonts w:hint="eastAsia" w:ascii="宋体" w:hAnsi="宋体" w:eastAsia="宋体" w:cs="宋体"/>
          <w:color w:val="333333"/>
          <w:sz w:val="28"/>
          <w:szCs w:val="28"/>
        </w:rPr>
        <w:t xml:space="preserve"> 月 </w:t>
      </w:r>
      <w:r>
        <w:rPr>
          <w:rFonts w:hint="eastAsia" w:ascii="宋体" w:hAnsi="宋体" w:eastAsia="宋体" w:cs="宋体"/>
          <w:color w:val="333333"/>
          <w:sz w:val="28"/>
          <w:szCs w:val="28"/>
          <w:lang w:val="en-US" w:eastAsia="zh-CN"/>
        </w:rPr>
        <w:t>26</w:t>
      </w:r>
      <w:r>
        <w:rPr>
          <w:rFonts w:hint="eastAsia" w:ascii="宋体" w:hAnsi="宋体" w:eastAsia="宋体" w:cs="宋体"/>
          <w:color w:val="333333"/>
          <w:sz w:val="28"/>
          <w:szCs w:val="28"/>
        </w:rPr>
        <w:t xml:space="preserve"> 日。</w:t>
      </w:r>
    </w:p>
    <w:p w14:paraId="20DA904A">
      <w:pPr>
        <w:spacing w:line="460" w:lineRule="exact"/>
        <w:rPr>
          <w:rFonts w:ascii="宋体" w:hAnsi="宋体" w:eastAsia="宋体" w:cs="Times New Roman"/>
          <w:b/>
          <w:sz w:val="24"/>
        </w:rPr>
      </w:pPr>
      <w:r>
        <w:rPr>
          <w:rFonts w:hint="eastAsia" w:ascii="华文中宋" w:hAnsi="华文中宋" w:eastAsia="华文中宋" w:cs="Times New Roman"/>
          <w:sz w:val="28"/>
          <w:szCs w:val="28"/>
        </w:rPr>
        <w:t>二、</w:t>
      </w:r>
      <w:r>
        <w:rPr>
          <w:rFonts w:hint="eastAsia" w:ascii="宋体" w:hAnsi="宋体" w:eastAsia="宋体" w:cs="Times New Roman"/>
          <w:b/>
          <w:sz w:val="28"/>
          <w:szCs w:val="28"/>
        </w:rPr>
        <w:t>领导作用</w:t>
      </w:r>
      <w:r>
        <w:rPr>
          <w:rFonts w:hint="eastAsia" w:ascii="宋体" w:hAnsi="宋体" w:eastAsia="宋体" w:cs="Times New Roman"/>
          <w:b/>
          <w:sz w:val="24"/>
        </w:rPr>
        <w:t>：</w:t>
      </w:r>
    </w:p>
    <w:p w14:paraId="2EA1EDC1">
      <w:pPr>
        <w:spacing w:line="460" w:lineRule="exact"/>
        <w:rPr>
          <w:rFonts w:ascii="宋体" w:hAnsi="宋体" w:eastAsia="宋体" w:cs="Times New Roman"/>
          <w:sz w:val="28"/>
          <w:szCs w:val="28"/>
        </w:rPr>
      </w:pPr>
      <w:r>
        <w:rPr>
          <w:rFonts w:hint="eastAsia" w:ascii="宋体" w:hAnsi="宋体" w:eastAsia="宋体" w:cs="Times New Roman"/>
          <w:sz w:val="24"/>
        </w:rPr>
        <w:t xml:space="preserve">    </w:t>
      </w:r>
      <w:r>
        <w:rPr>
          <w:rFonts w:hint="eastAsia" w:ascii="宋体" w:hAnsi="宋体" w:eastAsia="宋体" w:cs="Times New Roman"/>
          <w:sz w:val="28"/>
          <w:szCs w:val="28"/>
        </w:rPr>
        <w:t>1）确定企业精神、核心价值观和经营理念：</w:t>
      </w:r>
    </w:p>
    <w:p w14:paraId="3B90A759">
      <w:pPr>
        <w:spacing w:line="4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●企业精神：</w:t>
      </w:r>
    </w:p>
    <w:p w14:paraId="5701D4A9">
      <w:pPr>
        <w:spacing w:line="460" w:lineRule="exact"/>
        <w:ind w:firstLine="560" w:firstLineChars="200"/>
        <w:rPr>
          <w:rFonts w:ascii="宋体" w:hAnsi="宋体"/>
          <w:sz w:val="28"/>
          <w:szCs w:val="28"/>
        </w:rPr>
      </w:pPr>
      <w:r>
        <w:rPr>
          <w:rFonts w:hint="eastAsia" w:ascii="宋体" w:hAnsi="宋体"/>
          <w:sz w:val="28"/>
          <w:szCs w:val="28"/>
        </w:rPr>
        <w:t>公司创始人黄可楼于1994年一步一个脚印从普通销售人员到如今的荣誉董事长，如今已</w:t>
      </w:r>
      <w:r>
        <w:rPr>
          <w:rFonts w:hint="eastAsia" w:ascii="宋体" w:hAnsi="宋体"/>
          <w:sz w:val="28"/>
          <w:szCs w:val="28"/>
          <w:lang w:eastAsia="zh-CN"/>
        </w:rPr>
        <w:t>完成顺利交接</w:t>
      </w:r>
      <w:r>
        <w:rPr>
          <w:rFonts w:hint="eastAsia" w:ascii="宋体" w:hAnsi="宋体"/>
          <w:sz w:val="28"/>
          <w:szCs w:val="28"/>
        </w:rPr>
        <w:t>，在年轻董事长黄伟的带领下，大家紧密配合，刻苦钻研</w:t>
      </w:r>
      <w:r>
        <w:rPr>
          <w:rFonts w:hint="eastAsia" w:ascii="宋体" w:hAnsi="宋体"/>
          <w:sz w:val="28"/>
          <w:szCs w:val="28"/>
          <w:lang w:eastAsia="zh-CN"/>
        </w:rPr>
        <w:t>。公司</w:t>
      </w:r>
      <w:r>
        <w:rPr>
          <w:rFonts w:hint="eastAsia" w:ascii="宋体" w:hAnsi="宋体"/>
          <w:sz w:val="28"/>
          <w:szCs w:val="28"/>
        </w:rPr>
        <w:t>经过20余年的打拼，使企业积累了深厚的文化积淀。他的座右铭是“做企业要有</w:t>
      </w:r>
      <w:r>
        <w:rPr>
          <w:rFonts w:hint="eastAsia"/>
          <w:sz w:val="28"/>
          <w:szCs w:val="28"/>
        </w:rPr>
        <w:t>争创一流的霸气、敢于负责的勇气、克难攻坚的豪气；要争分夺秒抢、千辛万苦拼、有胆有识闯、脚踏实地干。</w:t>
      </w:r>
      <w:r>
        <w:rPr>
          <w:rFonts w:hint="eastAsia" w:ascii="宋体" w:hAnsi="宋体"/>
          <w:sz w:val="28"/>
          <w:szCs w:val="28"/>
        </w:rPr>
        <w:t>”由此逐步形成全员贯彻有一的企业精神支柱，最终使公司迅速发展壮大为国内</w:t>
      </w:r>
      <w:r>
        <w:rPr>
          <w:rFonts w:hint="eastAsia" w:ascii="宋体" w:hAnsi="宋体"/>
          <w:sz w:val="28"/>
          <w:szCs w:val="28"/>
          <w:lang w:eastAsia="zh-CN"/>
        </w:rPr>
        <w:t>电力</w:t>
      </w:r>
      <w:r>
        <w:rPr>
          <w:rFonts w:hint="eastAsia" w:ascii="宋体" w:hAnsi="宋体"/>
          <w:sz w:val="28"/>
          <w:szCs w:val="28"/>
        </w:rPr>
        <w:t>行业的创新标杆企业。</w:t>
      </w:r>
    </w:p>
    <w:p w14:paraId="6C74A36E">
      <w:pPr>
        <w:spacing w:line="460" w:lineRule="exact"/>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●核心价值观：</w:t>
      </w:r>
    </w:p>
    <w:p w14:paraId="6F191076">
      <w:pPr>
        <w:spacing w:line="460" w:lineRule="exact"/>
        <w:ind w:firstLine="560" w:firstLineChars="200"/>
        <w:rPr>
          <w:rFonts w:ascii="宋体" w:hAnsi="宋体" w:eastAsia="宋体" w:cs="Times New Roman"/>
          <w:sz w:val="28"/>
          <w:szCs w:val="28"/>
          <w:highlight w:val="none"/>
        </w:rPr>
      </w:pPr>
      <w:r>
        <w:rPr>
          <w:rFonts w:hint="eastAsia" w:ascii="Calibri" w:hAnsi="Calibri" w:eastAsia="宋体" w:cs="Times New Roman"/>
          <w:sz w:val="28"/>
          <w:szCs w:val="28"/>
          <w:highlight w:val="none"/>
        </w:rPr>
        <w:t>自公司设立以来，公司</w:t>
      </w:r>
      <w:r>
        <w:rPr>
          <w:rFonts w:hint="eastAsia" w:ascii="宋体" w:hAnsi="宋体" w:eastAsia="宋体" w:cs="Times New Roman"/>
          <w:sz w:val="28"/>
          <w:szCs w:val="28"/>
          <w:highlight w:val="none"/>
        </w:rPr>
        <w:t>领导班子历来注重企业核心价值观体现、员工队伍建设和社会责任建设。公司</w:t>
      </w:r>
      <w:r>
        <w:rPr>
          <w:rFonts w:hint="eastAsia" w:ascii="Calibri" w:hAnsi="Calibri" w:eastAsia="宋体" w:cs="Times New Roman"/>
          <w:sz w:val="28"/>
          <w:szCs w:val="28"/>
          <w:highlight w:val="none"/>
        </w:rPr>
        <w:t>第一届董事会提炼出“</w:t>
      </w:r>
      <w:r>
        <w:rPr>
          <w:rFonts w:hint="eastAsia" w:ascii="Calibri" w:hAnsi="Calibri" w:eastAsia="宋体" w:cs="Times New Roman"/>
          <w:sz w:val="28"/>
          <w:szCs w:val="28"/>
          <w:highlight w:val="none"/>
          <w:lang w:eastAsia="zh-CN"/>
        </w:rPr>
        <w:t>创新、关爱，为客户不断创造价值</w:t>
      </w:r>
      <w:r>
        <w:rPr>
          <w:rFonts w:hint="eastAsia" w:ascii="Calibri" w:hAnsi="Calibri" w:eastAsia="宋体" w:cs="Times New Roman"/>
          <w:sz w:val="28"/>
          <w:szCs w:val="28"/>
          <w:highlight w:val="none"/>
        </w:rPr>
        <w:t>”的企业核心价值观</w:t>
      </w:r>
      <w:r>
        <w:rPr>
          <w:rFonts w:hint="eastAsia" w:ascii="宋体" w:hAnsi="宋体" w:eastAsia="宋体" w:cs="Times New Roman"/>
          <w:sz w:val="28"/>
          <w:szCs w:val="28"/>
          <w:highlight w:val="none"/>
        </w:rPr>
        <w:t>，并将此贯穿到整个企业发展历程中，坚持用统一的核心价值观指导企业的经济发展和企业文化建设。在绩效目标中均衡考虑各方利益，向员工和主要合作伙伴沟通公司的价值观、发展方向和目标，确保双向沟通，以达到“和用户创造共赢，和员工创造幸福”的目标。　　　　　　　　　　　　　　　　</w:t>
      </w:r>
    </w:p>
    <w:p w14:paraId="4FEB2FDD">
      <w:pPr>
        <w:spacing w:line="420" w:lineRule="exact"/>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●经营理念：</w:t>
      </w:r>
    </w:p>
    <w:p w14:paraId="7369816C">
      <w:pPr>
        <w:spacing w:line="420" w:lineRule="exact"/>
        <w:ind w:firstLine="560" w:firstLineChars="200"/>
        <w:rPr>
          <w:rFonts w:ascii="Calibri" w:hAnsi="Calibri" w:eastAsia="宋体" w:cs="Times New Roman"/>
          <w:sz w:val="28"/>
          <w:szCs w:val="28"/>
          <w:highlight w:val="none"/>
        </w:rPr>
      </w:pPr>
      <w:r>
        <w:rPr>
          <w:rFonts w:hint="eastAsia" w:ascii="Calibri" w:hAnsi="Calibri" w:eastAsia="宋体" w:cs="Times New Roman"/>
          <w:sz w:val="28"/>
          <w:szCs w:val="28"/>
          <w:highlight w:val="none"/>
        </w:rPr>
        <w:t>“诚信立企、和谐兴企、科技强企”是</w:t>
      </w:r>
      <w:r>
        <w:rPr>
          <w:rFonts w:hint="eastAsia" w:ascii="Calibri" w:hAnsi="Calibri" w:eastAsia="宋体" w:cs="Times New Roman"/>
          <w:sz w:val="28"/>
          <w:szCs w:val="28"/>
          <w:highlight w:val="none"/>
          <w:lang w:eastAsia="zh-CN"/>
        </w:rPr>
        <w:t>侨泰</w:t>
      </w:r>
      <w:r>
        <w:rPr>
          <w:rFonts w:hint="eastAsia" w:ascii="Calibri" w:hAnsi="Calibri" w:eastAsia="宋体" w:cs="Times New Roman"/>
          <w:sz w:val="28"/>
          <w:szCs w:val="28"/>
          <w:highlight w:val="none"/>
        </w:rPr>
        <w:t>一直以来遵循的经营理念。</w:t>
      </w:r>
    </w:p>
    <w:p w14:paraId="086BF6FF">
      <w:pPr>
        <w:spacing w:line="420" w:lineRule="exact"/>
        <w:ind w:firstLine="560" w:firstLineChars="200"/>
        <w:rPr>
          <w:rFonts w:ascii="Calibri" w:hAnsi="Calibri" w:eastAsia="宋体" w:cs="Times New Roman"/>
          <w:sz w:val="28"/>
          <w:szCs w:val="28"/>
          <w:highlight w:val="none"/>
        </w:rPr>
      </w:pPr>
      <w:r>
        <w:rPr>
          <w:rFonts w:hint="eastAsia" w:ascii="Calibri" w:hAnsi="Calibri" w:eastAsia="宋体" w:cs="Times New Roman"/>
          <w:sz w:val="28"/>
          <w:szCs w:val="28"/>
          <w:highlight w:val="none"/>
        </w:rPr>
        <w:t>——诚信立企，就是要按照《公司法》相关规定，诚实守信，规范合法经营。</w:t>
      </w:r>
    </w:p>
    <w:p w14:paraId="2AFE247D">
      <w:pPr>
        <w:spacing w:line="420" w:lineRule="exact"/>
        <w:ind w:firstLine="560" w:firstLineChars="200"/>
        <w:rPr>
          <w:rFonts w:ascii="Calibri" w:hAnsi="Calibri" w:eastAsia="宋体" w:cs="Times New Roman"/>
          <w:sz w:val="28"/>
          <w:szCs w:val="28"/>
          <w:highlight w:val="none"/>
        </w:rPr>
      </w:pPr>
      <w:r>
        <w:rPr>
          <w:rFonts w:hint="eastAsia" w:ascii="Calibri" w:hAnsi="Calibri" w:eastAsia="宋体" w:cs="Times New Roman"/>
          <w:sz w:val="28"/>
          <w:szCs w:val="28"/>
          <w:highlight w:val="none"/>
        </w:rPr>
        <w:t>——和谐兴企，就是要积极创建和谐劳动关系建设，凝聚员工队伍，共享发展成果。</w:t>
      </w:r>
    </w:p>
    <w:p w14:paraId="4B97A102">
      <w:pPr>
        <w:spacing w:line="420" w:lineRule="exact"/>
        <w:ind w:firstLine="560" w:firstLineChars="200"/>
        <w:rPr>
          <w:rFonts w:ascii="Calibri" w:hAnsi="Calibri" w:eastAsia="宋体" w:cs="Times New Roman"/>
          <w:sz w:val="28"/>
          <w:szCs w:val="28"/>
          <w:highlight w:val="none"/>
        </w:rPr>
      </w:pPr>
      <w:r>
        <w:rPr>
          <w:rFonts w:hint="eastAsia" w:ascii="Calibri" w:hAnsi="Calibri" w:eastAsia="宋体" w:cs="Times New Roman"/>
          <w:sz w:val="28"/>
          <w:szCs w:val="28"/>
          <w:highlight w:val="none"/>
        </w:rPr>
        <w:t>——科技强企，就是要注重自主创新，保障科研队伍建设和资金投入，立足高新前沿。</w:t>
      </w:r>
    </w:p>
    <w:p w14:paraId="2A27FDD9">
      <w:pPr>
        <w:spacing w:line="420" w:lineRule="exact"/>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    2）确定公司的使命、发展方向、愿景和绩效目标：</w:t>
      </w:r>
    </w:p>
    <w:p w14:paraId="076B081E">
      <w:pPr>
        <w:spacing w:line="420" w:lineRule="exact"/>
        <w:ind w:firstLine="560" w:firstLineChars="200"/>
        <w:rPr>
          <w:rFonts w:ascii="Calibri" w:hAnsi="Calibri" w:eastAsia="宋体" w:cs="Times New Roman"/>
          <w:sz w:val="28"/>
          <w:szCs w:val="28"/>
          <w:highlight w:val="none"/>
        </w:rPr>
      </w:pPr>
      <w:r>
        <w:rPr>
          <w:rFonts w:hint="eastAsia" w:ascii="宋体" w:hAnsi="宋体" w:eastAsia="宋体" w:cs="Times New Roman"/>
          <w:sz w:val="28"/>
          <w:szCs w:val="28"/>
          <w:highlight w:val="none"/>
        </w:rPr>
        <w:t>●</w:t>
      </w:r>
      <w:r>
        <w:rPr>
          <w:rFonts w:hint="eastAsia" w:ascii="Calibri" w:hAnsi="Calibri" w:eastAsia="宋体" w:cs="Times New Roman"/>
          <w:sz w:val="28"/>
          <w:szCs w:val="28"/>
          <w:highlight w:val="none"/>
        </w:rPr>
        <w:t>使命</w:t>
      </w:r>
    </w:p>
    <w:p w14:paraId="2E33330C">
      <w:pPr>
        <w:spacing w:line="420" w:lineRule="exact"/>
        <w:ind w:firstLine="560" w:firstLineChars="200"/>
        <w:rPr>
          <w:rFonts w:ascii="Calibri" w:hAnsi="Calibri" w:eastAsia="宋体" w:cs="Times New Roman"/>
          <w:sz w:val="28"/>
          <w:szCs w:val="28"/>
          <w:highlight w:val="none"/>
        </w:rPr>
      </w:pPr>
      <w:r>
        <w:rPr>
          <w:rFonts w:hint="eastAsia" w:ascii="Calibri" w:hAnsi="Calibri" w:eastAsia="宋体" w:cs="Times New Roman"/>
          <w:sz w:val="28"/>
          <w:szCs w:val="28"/>
          <w:highlight w:val="none"/>
        </w:rPr>
        <w:t>公司自创立之初，就提出“</w:t>
      </w:r>
      <w:r>
        <w:rPr>
          <w:rFonts w:hint="eastAsia" w:ascii="Calibri" w:hAnsi="Calibri" w:eastAsia="宋体" w:cs="Times New Roman"/>
          <w:sz w:val="28"/>
          <w:szCs w:val="28"/>
          <w:highlight w:val="none"/>
          <w:lang w:eastAsia="zh-CN"/>
        </w:rPr>
        <w:t>为电力事业做出卓越贡献</w:t>
      </w:r>
      <w:r>
        <w:rPr>
          <w:rFonts w:hint="eastAsia" w:ascii="Calibri" w:hAnsi="Calibri" w:eastAsia="宋体" w:cs="Times New Roman"/>
          <w:sz w:val="28"/>
          <w:szCs w:val="28"/>
          <w:highlight w:val="none"/>
        </w:rPr>
        <w:t>”的企业使命，产品始终定位于研发和生产高精度、高附加值、高可靠性、高科技含量的</w:t>
      </w:r>
      <w:r>
        <w:rPr>
          <w:rFonts w:hint="eastAsia" w:ascii="Calibri" w:hAnsi="Calibri" w:eastAsia="宋体" w:cs="Times New Roman"/>
          <w:sz w:val="28"/>
          <w:szCs w:val="28"/>
          <w:highlight w:val="none"/>
          <w:lang w:eastAsia="zh-CN"/>
        </w:rPr>
        <w:t>电力产品</w:t>
      </w:r>
      <w:r>
        <w:rPr>
          <w:rFonts w:hint="eastAsia" w:ascii="Calibri" w:hAnsi="Calibri" w:eastAsia="宋体" w:cs="Times New Roman"/>
          <w:sz w:val="28"/>
          <w:szCs w:val="28"/>
          <w:highlight w:val="none"/>
        </w:rPr>
        <w:t>。公司上下牢固树立并保持客户意识和品牌意识，深入贯彻“打造规范的现代企业，始终坚持和谐、友善、创新、发展”的理念，以孜孜不倦的工作作风和精神状态迎接新的挑战，把公司发展成为国内</w:t>
      </w:r>
      <w:r>
        <w:rPr>
          <w:rFonts w:hint="eastAsia" w:ascii="Calibri" w:hAnsi="Calibri" w:eastAsia="宋体" w:cs="Times New Roman"/>
          <w:sz w:val="28"/>
          <w:szCs w:val="28"/>
          <w:highlight w:val="none"/>
          <w:lang w:eastAsia="zh-CN"/>
        </w:rPr>
        <w:t>电力金具行业中创新的标杆企业</w:t>
      </w:r>
      <w:r>
        <w:rPr>
          <w:rFonts w:hint="eastAsia" w:ascii="Calibri" w:hAnsi="Calibri" w:eastAsia="宋体" w:cs="Times New Roman"/>
          <w:sz w:val="28"/>
          <w:szCs w:val="28"/>
          <w:highlight w:val="none"/>
        </w:rPr>
        <w:t>。</w:t>
      </w:r>
    </w:p>
    <w:p w14:paraId="321AE2CD">
      <w:pPr>
        <w:spacing w:line="420" w:lineRule="exact"/>
        <w:ind w:firstLine="560" w:firstLineChars="200"/>
        <w:rPr>
          <w:rFonts w:ascii="Calibri" w:hAnsi="Calibri" w:eastAsia="宋体" w:cs="Times New Roman"/>
          <w:sz w:val="28"/>
          <w:szCs w:val="28"/>
          <w:highlight w:val="none"/>
        </w:rPr>
      </w:pPr>
      <w:r>
        <w:rPr>
          <w:rFonts w:hint="eastAsia" w:ascii="宋体" w:hAnsi="宋体" w:eastAsia="宋体" w:cs="Times New Roman"/>
          <w:sz w:val="28"/>
          <w:szCs w:val="28"/>
          <w:highlight w:val="none"/>
        </w:rPr>
        <w:t>●</w:t>
      </w:r>
      <w:r>
        <w:rPr>
          <w:rFonts w:hint="eastAsia" w:ascii="Calibri" w:hAnsi="Calibri" w:eastAsia="宋体" w:cs="Times New Roman"/>
          <w:sz w:val="28"/>
          <w:szCs w:val="28"/>
          <w:highlight w:val="none"/>
        </w:rPr>
        <w:t>发展方向和愿景</w:t>
      </w:r>
    </w:p>
    <w:p w14:paraId="131ECE9C">
      <w:pPr>
        <w:spacing w:line="420" w:lineRule="exact"/>
        <w:ind w:firstLine="560" w:firstLineChars="200"/>
        <w:rPr>
          <w:rFonts w:ascii="Calibri" w:hAnsi="Calibri" w:eastAsia="宋体" w:cs="Times New Roman"/>
          <w:sz w:val="28"/>
          <w:szCs w:val="28"/>
          <w:highlight w:val="none"/>
        </w:rPr>
      </w:pPr>
      <w:r>
        <w:rPr>
          <w:rFonts w:hint="eastAsia" w:ascii="Calibri" w:hAnsi="Calibri" w:eastAsia="宋体" w:cs="Times New Roman"/>
          <w:sz w:val="28"/>
          <w:szCs w:val="28"/>
          <w:highlight w:val="none"/>
          <w:lang w:eastAsia="zh-CN"/>
        </w:rPr>
        <w:t>作为现阶段中国电力金具行业专利申请较多和专利意识比较强的企业，公司领导班子充分研究分析国内市场的发展趋势，结合本公司实际，提出“致力于成为国内电力行业标杆企业”的发展方向和愿景</w:t>
      </w:r>
      <w:r>
        <w:rPr>
          <w:rFonts w:hint="eastAsia" w:ascii="Calibri" w:hAnsi="Calibri" w:eastAsia="宋体" w:cs="Times New Roman"/>
          <w:sz w:val="28"/>
          <w:szCs w:val="28"/>
          <w:highlight w:val="none"/>
        </w:rPr>
        <w:t>。</w:t>
      </w:r>
    </w:p>
    <w:p w14:paraId="4515067F">
      <w:pPr>
        <w:pStyle w:val="5"/>
        <w:widowControl/>
        <w:spacing w:before="100" w:after="100" w:line="500" w:lineRule="exact"/>
        <w:rPr>
          <w:sz w:val="28"/>
          <w:szCs w:val="28"/>
        </w:rPr>
      </w:pPr>
      <w:r>
        <w:rPr>
          <w:rFonts w:hint="eastAsia" w:ascii="宋体" w:hAnsi="宋体" w:eastAsia="宋体" w:cs="宋体"/>
          <w:b/>
          <w:color w:val="333333"/>
          <w:sz w:val="28"/>
          <w:szCs w:val="28"/>
        </w:rPr>
        <w:t>三、股东和债权人权益保护</w:t>
      </w:r>
    </w:p>
    <w:p w14:paraId="29ADABC7">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投资者是公司最重要的利益相关方之一，为公司提供重要资源，也激励公司优化管理流程、提高运营效率。公司通过充分的信息披露与交流，加强与股东、债权人及潜在投资者之间的沟通，促进投资者对公司的了解和认同，不断提升公司治理水平，全力保障包括中小股民在内的所有投资人的合法权益。报告期内，公司进一步完善治理结构，公平对待所有股东和债权人，确保股东能够充分享有并行使法律、法规、规章所规定的各项合法权益。</w:t>
      </w:r>
    </w:p>
    <w:p w14:paraId="164E6720">
      <w:pPr>
        <w:pStyle w:val="5"/>
        <w:widowControl/>
        <w:spacing w:before="100" w:after="100" w:line="500" w:lineRule="exact"/>
        <w:rPr>
          <w:sz w:val="28"/>
          <w:szCs w:val="28"/>
        </w:rPr>
      </w:pPr>
      <w:r>
        <w:rPr>
          <w:rFonts w:hint="eastAsia" w:ascii="宋体" w:hAnsi="宋体" w:eastAsia="宋体" w:cs="宋体"/>
          <w:color w:val="333333"/>
          <w:sz w:val="28"/>
          <w:szCs w:val="28"/>
        </w:rPr>
        <w:t>（一）治理结构</w:t>
      </w:r>
    </w:p>
    <w:p w14:paraId="1FF0A3EA">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公司不断健全管理制度体系，规范公司运作，充分发挥董事会的决策能力，提高总经理的执行权威和效能。公司于本年度结合导入浙江制造标准，修订了各项管理规定 ，加强对公司内部制度的规范和管理。公司能够按照有关法律法规和《公司章程》及相关制度的规定按期召开各种例会，所有相关 人员都能积极到会，参与决论决定各种事项。</w:t>
      </w:r>
    </w:p>
    <w:p w14:paraId="1D271844">
      <w:pPr>
        <w:pStyle w:val="5"/>
        <w:widowControl/>
        <w:spacing w:before="100" w:after="100" w:line="500" w:lineRule="exact"/>
        <w:rPr>
          <w:sz w:val="28"/>
          <w:szCs w:val="28"/>
        </w:rPr>
      </w:pPr>
      <w:r>
        <w:rPr>
          <w:rFonts w:hint="eastAsia" w:ascii="宋体" w:hAnsi="宋体" w:eastAsia="宋体" w:cs="宋体"/>
          <w:color w:val="333333"/>
          <w:sz w:val="28"/>
          <w:szCs w:val="28"/>
        </w:rPr>
        <w:t>（二）信息披露</w:t>
      </w:r>
    </w:p>
    <w:p w14:paraId="2C5EAEA2">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公司高度重视信息披露工作，制定并实施了信息披露及投资者关系管理制度，成立专门部门负责信息披露管理和投资者关系等事务，做到信息披露工作的真实、准确、完整和及时。</w:t>
      </w:r>
    </w:p>
    <w:p w14:paraId="19F2A25C">
      <w:pPr>
        <w:pStyle w:val="5"/>
        <w:widowControl/>
        <w:numPr>
          <w:ilvl w:val="0"/>
          <w:numId w:val="1"/>
        </w:numPr>
        <w:spacing w:before="100" w:after="100" w:line="500" w:lineRule="exact"/>
        <w:rPr>
          <w:rFonts w:ascii="宋体" w:hAnsi="宋体" w:eastAsia="宋体" w:cs="宋体"/>
          <w:color w:val="333333"/>
          <w:sz w:val="28"/>
          <w:szCs w:val="28"/>
        </w:rPr>
      </w:pPr>
      <w:r>
        <w:rPr>
          <w:rFonts w:hint="eastAsia" w:ascii="宋体" w:hAnsi="宋体" w:eastAsia="宋体" w:cs="宋体"/>
          <w:color w:val="333333"/>
          <w:sz w:val="28"/>
          <w:szCs w:val="28"/>
        </w:rPr>
        <w:t>股东回报</w:t>
      </w:r>
    </w:p>
    <w:p w14:paraId="4DB45D21">
      <w:pPr>
        <w:pStyle w:val="5"/>
        <w:widowControl/>
        <w:spacing w:before="100" w:after="100" w:line="500" w:lineRule="exact"/>
        <w:ind w:firstLine="560" w:firstLineChars="200"/>
        <w:rPr>
          <w:rFonts w:ascii="宋体" w:hAnsi="宋体" w:eastAsia="宋体" w:cs="宋体"/>
          <w:color w:val="000000"/>
          <w:sz w:val="28"/>
          <w:szCs w:val="28"/>
        </w:rPr>
      </w:pPr>
      <w:r>
        <w:rPr>
          <w:rFonts w:hint="eastAsia" w:ascii="宋体" w:hAnsi="宋体" w:eastAsia="宋体" w:cs="宋体"/>
          <w:color w:val="333333"/>
          <w:sz w:val="28"/>
          <w:szCs w:val="28"/>
        </w:rPr>
        <w:t>公司在《公司章程》中对利润分配的有关内容进行了明确的规定，确保公司股东的投资利益，增强股东的归属感。公司在研究分红派息方案时，以确保股东权益，维护股价稳定为前提，把各级股东利益放在首位，每年为股东提供稳健的现金红利，保证了股东的实际利益和公司的可持续发展。</w:t>
      </w:r>
    </w:p>
    <w:p w14:paraId="5587A98D">
      <w:pPr>
        <w:pStyle w:val="5"/>
        <w:widowControl/>
        <w:numPr>
          <w:ilvl w:val="0"/>
          <w:numId w:val="2"/>
        </w:numPr>
        <w:spacing w:before="100" w:after="100" w:line="500" w:lineRule="exact"/>
        <w:rPr>
          <w:rFonts w:ascii="宋体" w:hAnsi="宋体" w:eastAsia="宋体" w:cs="宋体"/>
          <w:color w:val="333333"/>
          <w:sz w:val="28"/>
          <w:szCs w:val="28"/>
        </w:rPr>
      </w:pPr>
      <w:r>
        <w:rPr>
          <w:rFonts w:hint="eastAsia" w:ascii="宋体" w:hAnsi="宋体" w:eastAsia="宋体" w:cs="宋体"/>
          <w:color w:val="333333"/>
          <w:sz w:val="28"/>
          <w:szCs w:val="28"/>
        </w:rPr>
        <w:t>投资者关系</w:t>
      </w:r>
    </w:p>
    <w:p w14:paraId="34157710">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董事会和管理层充分认识到投资者关系管理工作对于完善治理结构和经营管理水平，促进规范运作，提升核心竞争力、投资价值和股东价值，确保持续健康发展方面能够起到重要的作用。公司通过互动平台、公司网站，投资者电话、信箱等多种渠道，规范接待来访，善意对待每一位投资者，积极回应投资者普遍关心的重大问题。听取广大投资者对于公司生产经营、未来发展的意见和建议，平等对待所有投资者，防止未公开信息的泄露，杜绝针对不同投资者选择性披露的情形发生，建立了良好的投资者关系。公司通过互动易、年度业绩说明会、可转债路演、对外座机等形式，与投资者进行了充分、及时、有效的互动沟通，回复投资者的咨询，并积极采纳投资者的合理建议。</w:t>
      </w:r>
    </w:p>
    <w:p w14:paraId="393E6506">
      <w:pPr>
        <w:pStyle w:val="5"/>
        <w:widowControl/>
        <w:spacing w:before="100" w:after="100" w:line="500" w:lineRule="exact"/>
        <w:rPr>
          <w:sz w:val="28"/>
          <w:szCs w:val="28"/>
        </w:rPr>
      </w:pPr>
      <w:r>
        <w:rPr>
          <w:rFonts w:hint="eastAsia" w:ascii="宋体" w:hAnsi="宋体" w:eastAsia="宋体" w:cs="宋体"/>
          <w:b/>
          <w:color w:val="333333"/>
          <w:sz w:val="28"/>
          <w:szCs w:val="28"/>
        </w:rPr>
        <w:t>四、职工权益保护</w:t>
      </w:r>
    </w:p>
    <w:p w14:paraId="2DA8B447">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员工是公司最重要的资源，是可持续发展的基础。公司始终把员工的政治权益、民主权益、经济权益的保障作为构建和谐公司的重要举措，始终把实现和维护全体员工的利益作为工作的出发点和落脚点，通过多种途径和渠道保障员工的各项权益，促进员工的价值实现和全面发展，保护员工的身心健康，提升企业的凝聚力，实现员工与企业共同成长。公司建立了合理的薪酬体制，并积极稳妥地推进职工薪酬制度改革；建立了符合岗位工作需求和突出岗位工作业绩的职工基本工资制度和绩效考核制度，客观、公正地评价员工工作能力、工作态度和取得的工作业绩，有效激发了员工工作积极性。公司把保障员工的健康和安全作为第一要务，努力营造安全、舒适的工作环境。</w:t>
      </w:r>
    </w:p>
    <w:p w14:paraId="060CA5D9">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一）公司严格遵守《劳动合同法》及相关法律法规的规定，完善工作制度、调整作息时间，与员工签订《劳动合同》，办理医疗、养老、失业、工伤、生育等社会保险，为员工提供健康、安全的生产和生活环境，切实维护员工的合法利益。</w:t>
      </w:r>
    </w:p>
    <w:p w14:paraId="5CD047C5">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（二）公司不断完善薪酬体系和绩效考核机制，遵循同工同酬、按劳分配、多劳多得的原则，积极开展各类劳动比赛活动，做到公开、公平、公正，有效地激发了全体员工的积极性和创造性。</w:t>
      </w:r>
    </w:p>
    <w:p w14:paraId="64729879">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（三）公司非常重视与员工的沟通和交流，从2006年6月始，公司设立总经理信箱，让公司各级员工及管理层共同参与公司治理，对现行的制度等提出合理化建议，并经公司相关领导评议选择性采纳； 公司设立了微信工会群，包括了全公司所有人员，方便员工提建议。通过这种形式，广泛收集意见，加强了员工参与管理的积极性和“主人翁”意识。。</w:t>
      </w:r>
    </w:p>
    <w:p w14:paraId="0916FCB2">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四）公司注重员工的身心健康。为员工提供安全、舒适的工作环境，针对员工的身体状况给予调整合适的工作岗位；高温天气做好防暑降温措施，发放高温费；伤病走访、帮助困难职工，解决外来职工子女上学难问题；总经理特别关注新进大学生的成长，定期召开座谈会，处处给员工以家的温馨，体现公司对员工的关心和人性化管理。在忙碌的工作之余，公司组织丰富多彩的文体活动，如演讲比赛、拔河等，积极参与市政府、街道举办的才艺活动，给员工提供全方位展示个人才能的舞台，营造了活泼向上的工作氛围，提高了员工整体文化素养，增强了员工凝聚力。</w:t>
      </w:r>
    </w:p>
    <w:p w14:paraId="6E22F298">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五）公司注重对员工安全生产和劳动保护，注重对员工安全教育与培训，对不同岗位每年定期为员工配备必要的劳动防护用品及保护设施，不定期地对公司生产安全进行全面排查，并组织实施安全生产培训，引导和教育职工增强安全生产法制观念，自觉遵守企业安全生产规章制度，严格按操作规程作业，提高安全生产技能和行为意识。</w:t>
      </w:r>
    </w:p>
    <w:p w14:paraId="204C6C21">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六）公司致力于打造学习型企业，十分注重员工培训与职业规划，积极开展职工培训，组织员工参加专业知识和技能培训，鼓励和支持职工参加业余进修培训、提升自身素质和综合能力，并为员工发展提供更多的机会和广阔的舞台。在2018年，公司成为《EPTC电力技术平台》会员单位，公司会经常不定期派人到全国各地进行学习，成为深度战略合作伙伴。</w:t>
      </w:r>
    </w:p>
    <w:p w14:paraId="647A3A84">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七）公司重视职工权利的保护，依据《公司法》和公司章程等的规定，建立职工监事选任制度，确保职工在公司治理中享有充分的权利；支持工会依法开展工作，审议工资、福利、劳动、安全、卫生、社会保险等涉及职工切身利益的事项。通过各种方式和途径，构建和谐稳定的劳资关系。</w:t>
      </w:r>
    </w:p>
    <w:p w14:paraId="2B3DFB2C">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（八）公司已通过了ISO9001质量管理体系、ISO140001环境管理体系、</w:t>
      </w:r>
      <w:r>
        <w:rPr>
          <w:rFonts w:hint="eastAsia" w:ascii="宋体" w:hAnsi="宋体" w:eastAsia="宋体" w:cs="宋体"/>
          <w:color w:val="333333"/>
          <w:sz w:val="28"/>
          <w:szCs w:val="28"/>
          <w:lang w:val="en-US" w:eastAsia="zh-CN"/>
        </w:rPr>
        <w:t>ISO45001</w:t>
      </w:r>
      <w:r>
        <w:rPr>
          <w:rFonts w:hint="eastAsia" w:ascii="宋体" w:hAnsi="宋体" w:eastAsia="宋体" w:cs="宋体"/>
          <w:color w:val="333333"/>
          <w:sz w:val="28"/>
          <w:szCs w:val="28"/>
        </w:rPr>
        <w:t>职业健康管理体系认证，并持续保持每年通过了监督审核。</w:t>
      </w:r>
    </w:p>
    <w:p w14:paraId="1015A786">
      <w:pPr>
        <w:pStyle w:val="5"/>
        <w:widowControl/>
        <w:spacing w:before="100" w:after="100" w:line="500" w:lineRule="exact"/>
        <w:rPr>
          <w:rFonts w:ascii="宋体" w:hAnsi="宋体" w:eastAsia="宋体" w:cs="宋体"/>
          <w:b/>
          <w:color w:val="333333"/>
          <w:sz w:val="28"/>
          <w:szCs w:val="28"/>
        </w:rPr>
      </w:pPr>
      <w:r>
        <w:rPr>
          <w:rFonts w:hint="eastAsia" w:ascii="宋体" w:hAnsi="宋体" w:eastAsia="宋体" w:cs="宋体"/>
          <w:b/>
          <w:color w:val="333333"/>
          <w:sz w:val="28"/>
          <w:szCs w:val="28"/>
        </w:rPr>
        <w:t>五、供应商、客户和消费者权益保护</w:t>
      </w:r>
    </w:p>
    <w:p w14:paraId="718DEF60">
      <w:pPr>
        <w:pStyle w:val="5"/>
        <w:widowControl/>
        <w:spacing w:before="100" w:after="100" w:line="500" w:lineRule="exact"/>
        <w:ind w:firstLine="560" w:firstLineChars="200"/>
        <w:jc w:val="both"/>
        <w:rPr>
          <w:sz w:val="28"/>
          <w:szCs w:val="28"/>
        </w:rPr>
      </w:pPr>
      <w:r>
        <w:rPr>
          <w:rFonts w:hint="eastAsia" w:ascii="宋体" w:hAnsi="宋体" w:eastAsia="宋体" w:cs="宋体"/>
          <w:color w:val="333333"/>
          <w:sz w:val="28"/>
          <w:szCs w:val="28"/>
        </w:rPr>
        <w:t>公司将客户作为企业存在的最大价值，把客户满意度作为衡量公司各项工作的准绳，重视与客户的共赢关系，恪守诚信，致力于为客户提供安全可靠、节能环保的产品和服务。公司不仅将采购及供应链管理作为企业日常运营的重要工作，同时将供应商作为可信赖的战略伙伴，将协助供应商的发展视为培育外部战略性资源。</w:t>
      </w:r>
    </w:p>
    <w:p w14:paraId="1C9DBD60">
      <w:pPr>
        <w:pStyle w:val="5"/>
        <w:widowControl/>
        <w:spacing w:before="100" w:after="100" w:line="500" w:lineRule="exact"/>
        <w:rPr>
          <w:sz w:val="28"/>
          <w:szCs w:val="28"/>
        </w:rPr>
      </w:pPr>
      <w:r>
        <w:rPr>
          <w:rFonts w:hint="eastAsia" w:ascii="宋体" w:hAnsi="宋体" w:eastAsia="宋体" w:cs="宋体"/>
          <w:color w:val="333333"/>
          <w:sz w:val="28"/>
          <w:szCs w:val="28"/>
        </w:rPr>
        <w:t>（一）严把质量关，为消费者提供优质的产品</w:t>
      </w:r>
    </w:p>
    <w:p w14:paraId="627041D7">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以质量为本，用品质创造价值；以创新求发展，引领行业潮流；视品牌为生命，全力打造中国名牌”，提供一流品质的产品，是公司一贯的追求。公司通过实施ISO9001质量管理体系认证，严格执行产品质量标准，不断提升产品品质和服务质量，实施以顾客为导向的营销战略，通过与客户互访沟通、技术交流、满意度调查等多种渠道征集客户意见，在产品研发、营销等诸多环节考虑客户的客观期望和需求，致力于为顾客提供优质的产品和超值的服务，充分确保客户市场的利益。</w:t>
      </w:r>
    </w:p>
    <w:p w14:paraId="0339098A">
      <w:pPr>
        <w:pStyle w:val="5"/>
        <w:widowControl/>
        <w:spacing w:before="100" w:after="100" w:line="500" w:lineRule="exact"/>
        <w:rPr>
          <w:sz w:val="28"/>
          <w:szCs w:val="28"/>
        </w:rPr>
      </w:pPr>
      <w:r>
        <w:rPr>
          <w:rFonts w:hint="eastAsia" w:ascii="宋体" w:hAnsi="宋体" w:eastAsia="宋体" w:cs="宋体"/>
          <w:color w:val="333333"/>
          <w:sz w:val="28"/>
          <w:szCs w:val="28"/>
        </w:rPr>
        <w:t>（二）建立和完善客户管理体系，与客户共同成长</w:t>
      </w:r>
    </w:p>
    <w:p w14:paraId="63804465">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公司制定了《客户管理手册》，详细规定销售业务的资质管理、分类管理、市场管理、内部管理、信用管理和成长管理等六个方面。公司根据客户年度考核结果与客户分类标准，调整现有客户的类别，分别给予相应的销售政策，并采用客户信用评价模型进行信用评级，据此给予不同的信用政策。此外，公司对销售团队和各级客户提供相应的公司产品知识、经营模式、企业文化等的学习培训和交流，以提高自身的综合销售管理水平。</w:t>
      </w:r>
    </w:p>
    <w:p w14:paraId="1F6C3C68">
      <w:pPr>
        <w:pStyle w:val="5"/>
        <w:widowControl/>
        <w:spacing w:before="100" w:after="100" w:line="500" w:lineRule="exact"/>
        <w:rPr>
          <w:sz w:val="28"/>
          <w:szCs w:val="28"/>
        </w:rPr>
      </w:pPr>
      <w:r>
        <w:rPr>
          <w:rFonts w:hint="eastAsia" w:ascii="宋体" w:hAnsi="宋体" w:eastAsia="宋体" w:cs="宋体"/>
          <w:color w:val="333333"/>
          <w:sz w:val="28"/>
          <w:szCs w:val="28"/>
        </w:rPr>
        <w:t>（三）公司与供应商保持互惠互利合作共赢的良性关系</w:t>
      </w:r>
    </w:p>
    <w:p w14:paraId="1FAC2C8B">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公司坚持诚信经营、利益共享、互惠互利的原则，不断完善采购流程与机制，建立公平、公正的评估体系，尊重供应商的合理报价，维护供应商的产品利益和技术开发利益，为供应商创造良好的竞争环境。为保证公司集中采购统一配送工作的实施，公司制定了供应商准入制度，对主要采购商品实施公开招标，使供应商间形成公平竞争、优胜劣汰的机制。公司定期召开供应商大会，感谢供应商一直以来对公司发展的支持，并积极探讨总结过去一年的经营情况，分享各自的经验。在新的一年里，弥补以往的不足，齐头并进。</w:t>
      </w:r>
    </w:p>
    <w:p w14:paraId="44C711C1">
      <w:pPr>
        <w:pStyle w:val="5"/>
        <w:widowControl/>
        <w:spacing w:before="100" w:after="100" w:line="500" w:lineRule="exact"/>
        <w:rPr>
          <w:sz w:val="28"/>
          <w:szCs w:val="28"/>
        </w:rPr>
      </w:pPr>
      <w:r>
        <w:rPr>
          <w:rFonts w:hint="eastAsia" w:ascii="宋体" w:hAnsi="宋体" w:eastAsia="宋体" w:cs="宋体"/>
          <w:b/>
          <w:color w:val="333333"/>
          <w:sz w:val="28"/>
          <w:szCs w:val="28"/>
        </w:rPr>
        <w:t>六、环境保护与可持续发展</w:t>
      </w:r>
    </w:p>
    <w:p w14:paraId="68C12E35">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公司环境保护工作实行总经理负责制，致力于实施清洁生产，控制和减少污染物排放。公司严格制定了排放到大气、水中的气体、固体和液体废弃物、噪声、对土壤等造成污染物质的排放标准。公司以环境保护作为企业可持续发展战略的重要内容，积极践行环境责任，提高资源利用效率，强化废弃物管理。公司致力于参照国际标准体系来指导公司的环境保护与可持续发展政策。</w:t>
      </w:r>
    </w:p>
    <w:p w14:paraId="46AD578F">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公司在生产过程中产生一定的废气（包括粉尘）、废水和废渣，公司为此建立了严格的污染物排放标准，环境保护工作取得了良好的效果。在实际生产经营过程中，为切实做好环境保护工作，公司采取了以下措施：</w:t>
      </w:r>
    </w:p>
    <w:p w14:paraId="0E8C0CE7">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一）在原材料管理上，加强对化学品供应商在环境保护方面的管理，要求供方做到运输危险品的车辆、人员证照齐全，严禁无证操作。建立健全各车间固体废物数量管理工作，同时做好减少化学危险品挥发，泄漏。</w:t>
      </w:r>
    </w:p>
    <w:p w14:paraId="0755569B">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（二）公司在产品研发时，注重产品的各项数据检测，各类产品均符合国家环保法律法规的规定。</w:t>
      </w:r>
    </w:p>
    <w:p w14:paraId="2BC0ADD1">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三）公司倡导绿色办公，对车辆进行统一调控，充分有效的利用车辆，减轻交通压力，减少碳排放；充分利用现代信息技术手段，推行无纸化办公，建立办公系统、视频会议系统等电子化办公模式，利用现代信息技术手段，推进节约型社会建设。通过系统运作，大量节省纸张耗费、通信费用和邮寄费用。</w:t>
      </w:r>
    </w:p>
    <w:p w14:paraId="2B296424">
      <w:pPr>
        <w:pStyle w:val="5"/>
        <w:widowControl/>
        <w:spacing w:before="100" w:after="100" w:line="500"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（四）公司每年均请有资质的检测单位进行废气、废水等的检测，新近员工都进行了体检。</w:t>
      </w:r>
    </w:p>
    <w:p w14:paraId="41F8DB69">
      <w:pPr>
        <w:pStyle w:val="5"/>
        <w:widowControl/>
        <w:spacing w:before="100" w:after="100" w:line="500" w:lineRule="exact"/>
        <w:rPr>
          <w:sz w:val="28"/>
          <w:szCs w:val="28"/>
        </w:rPr>
      </w:pPr>
      <w:r>
        <w:rPr>
          <w:rFonts w:hint="eastAsia" w:ascii="宋体" w:hAnsi="宋体" w:eastAsia="宋体" w:cs="宋体"/>
          <w:b/>
          <w:color w:val="333333"/>
          <w:sz w:val="28"/>
          <w:szCs w:val="28"/>
        </w:rPr>
        <w:t>七、公共关系和社会公益事业</w:t>
      </w:r>
    </w:p>
    <w:p w14:paraId="39217CAE">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企业发展源于社会，回报社会是企业应尽的责任。公司注重企业的社会价值体现，把为社会创造繁荣作为所应承担社会责任的一种承诺，以自身发展影响和带动地方经济振兴。</w:t>
      </w:r>
    </w:p>
    <w:p w14:paraId="0120992C">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（一）公司积极参与社会公益事业。20</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～202</w:t>
      </w:r>
      <w:r>
        <w:rPr>
          <w:rFonts w:hint="eastAsia" w:ascii="宋体" w:hAnsi="宋体" w:eastAsia="宋体" w:cs="宋体"/>
          <w:color w:val="333333"/>
          <w:sz w:val="28"/>
          <w:szCs w:val="28"/>
          <w:lang w:val="en-US" w:eastAsia="zh-CN"/>
        </w:rPr>
        <w:t>4</w:t>
      </w:r>
      <w:r>
        <w:rPr>
          <w:rFonts w:hint="eastAsia" w:ascii="宋体" w:hAnsi="宋体" w:eastAsia="宋体" w:cs="宋体"/>
          <w:color w:val="333333"/>
          <w:sz w:val="28"/>
          <w:szCs w:val="28"/>
        </w:rPr>
        <w:t>年，公司多次开展公益行走活动，关注和帮助贫困家庭。</w:t>
      </w:r>
    </w:p>
    <w:p w14:paraId="39670DF0">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（二）公司每年积极响应街道号召，鼓励全体员工参加无偿献血活动。并多次参与社会公益活动，帮助困难家庭的子女上学读书，深受社会各界赞誉。</w:t>
      </w:r>
    </w:p>
    <w:p w14:paraId="26D88971">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（三）公司积极、主动加强与政府主管部门、行业协会、监管机关的沟通与联系，对相关部门根据法律、法规要求提出的监督和检查，予以积极配合、协助，尽到自身的责任与义务。</w:t>
      </w:r>
    </w:p>
    <w:p w14:paraId="3DC7C174">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自强不息，厚德载物。我们平等友善地对待每一位员工，管理人员恪尽职守，务实进取，基层员工兢兢业业、甘于奉献，公司勇于承担社会责任，坚持诚信经营，为我们赢得了员工、客户、股东、政府各方的广泛赞誉，大家信赖侨泰、支持侨泰，为侨泰提供了扎实向前的发展动力与保障。</w:t>
      </w:r>
    </w:p>
    <w:p w14:paraId="169B390D">
      <w:pPr>
        <w:pStyle w:val="5"/>
        <w:widowControl/>
        <w:spacing w:before="100" w:after="100" w:line="500" w:lineRule="exact"/>
        <w:ind w:firstLine="560" w:firstLineChars="200"/>
        <w:rPr>
          <w:sz w:val="28"/>
          <w:szCs w:val="28"/>
        </w:rPr>
      </w:pPr>
      <w:r>
        <w:rPr>
          <w:rFonts w:hint="eastAsia" w:ascii="宋体" w:hAnsi="宋体" w:eastAsia="宋体" w:cs="宋体"/>
          <w:color w:val="333333"/>
          <w:sz w:val="28"/>
          <w:szCs w:val="28"/>
        </w:rPr>
        <w:t>社会责任与企业成长相辅相成、密不可分。展望202</w:t>
      </w:r>
      <w:r>
        <w:rPr>
          <w:rFonts w:hint="eastAsia" w:ascii="宋体" w:hAnsi="宋体" w:eastAsia="宋体" w:cs="宋体"/>
          <w:color w:val="333333"/>
          <w:sz w:val="28"/>
          <w:szCs w:val="28"/>
          <w:lang w:val="en-US" w:eastAsia="zh-CN"/>
        </w:rPr>
        <w:t>2</w:t>
      </w:r>
      <w:r>
        <w:rPr>
          <w:rFonts w:hint="eastAsia" w:ascii="宋体" w:hAnsi="宋体" w:eastAsia="宋体" w:cs="宋体"/>
          <w:color w:val="333333"/>
          <w:sz w:val="28"/>
          <w:szCs w:val="28"/>
        </w:rPr>
        <w:t>年，公司将继续认真贯彻国家法律、法规和行业政策规划，加快创新产品，改善服务，提高客户满意度，为股东创造更多价值。坚持“以人为本”，建立健全客户关系管理、投资者关系管理，推进企业文化建设，推进人力资源管理创新，切实保障员工各项权益，为员工提供更为广阔的职业发展空间。坚持承担社会责任，接收社会各界的监督，不断完善公司社会责任管理体系建设，加强与各利益相关方的沟通与交流，继续支持社会公益事业建设，为促进公司与社会的和谐发展做出新的贡献。</w:t>
      </w:r>
      <w:bookmarkStart w:id="0" w:name="_GoBack"/>
      <w:bookmarkEnd w:id="0"/>
    </w:p>
    <w:p w14:paraId="747F9ADD">
      <w:pPr>
        <w:pStyle w:val="5"/>
        <w:widowControl/>
        <w:spacing w:before="100" w:after="100" w:line="500" w:lineRule="exact"/>
        <w:rPr>
          <w:sz w:val="28"/>
          <w:szCs w:val="28"/>
        </w:rPr>
      </w:pPr>
    </w:p>
    <w:p w14:paraId="56732440">
      <w:pPr>
        <w:pStyle w:val="5"/>
        <w:widowControl/>
        <w:spacing w:before="100" w:after="100" w:line="500" w:lineRule="exact"/>
        <w:jc w:val="right"/>
        <w:rPr>
          <w:rFonts w:ascii="华文中宋" w:hAnsi="华文中宋" w:eastAsia="华文中宋" w:cs="宋体"/>
          <w:color w:val="333333"/>
          <w:sz w:val="28"/>
          <w:szCs w:val="28"/>
        </w:rPr>
      </w:pPr>
      <w:r>
        <w:rPr>
          <w:rFonts w:hint="eastAsia" w:ascii="宋体" w:hAnsi="宋体" w:eastAsia="宋体" w:cs="宋体"/>
          <w:color w:val="333333"/>
          <w:sz w:val="28"/>
          <w:szCs w:val="28"/>
        </w:rPr>
        <w:t xml:space="preserve">                             </w:t>
      </w:r>
      <w:r>
        <w:rPr>
          <w:rFonts w:hint="eastAsia" w:ascii="华文中宋" w:hAnsi="华文中宋" w:eastAsia="华文中宋" w:cs="宋体"/>
          <w:color w:val="333333"/>
          <w:sz w:val="28"/>
          <w:szCs w:val="28"/>
        </w:rPr>
        <w:t>浙江侨泰电力设备有限公司</w:t>
      </w:r>
    </w:p>
    <w:p w14:paraId="36411302">
      <w:pPr>
        <w:pStyle w:val="5"/>
        <w:widowControl/>
        <w:spacing w:before="100" w:after="100" w:line="500" w:lineRule="exact"/>
        <w:jc w:val="right"/>
        <w:rPr>
          <w:rFonts w:ascii="华文中宋" w:hAnsi="华文中宋" w:eastAsia="华文中宋"/>
          <w:sz w:val="28"/>
          <w:szCs w:val="28"/>
        </w:rPr>
      </w:pPr>
      <w:r>
        <w:rPr>
          <w:rFonts w:hint="eastAsia" w:ascii="华文中宋" w:hAnsi="华文中宋" w:eastAsia="华文中宋" w:cs="宋体"/>
          <w:color w:val="333333"/>
          <w:sz w:val="28"/>
          <w:szCs w:val="28"/>
        </w:rPr>
        <w:t xml:space="preserve">                                                     202</w:t>
      </w:r>
      <w:r>
        <w:rPr>
          <w:rFonts w:hint="eastAsia" w:ascii="华文中宋" w:hAnsi="华文中宋" w:eastAsia="华文中宋" w:cs="宋体"/>
          <w:color w:val="333333"/>
          <w:sz w:val="28"/>
          <w:szCs w:val="28"/>
          <w:lang w:val="en-US" w:eastAsia="zh-CN"/>
        </w:rPr>
        <w:t>5</w:t>
      </w:r>
      <w:r>
        <w:rPr>
          <w:rFonts w:hint="eastAsia" w:ascii="华文中宋" w:hAnsi="华文中宋" w:eastAsia="华文中宋" w:cs="宋体"/>
          <w:color w:val="333333"/>
          <w:sz w:val="28"/>
          <w:szCs w:val="28"/>
        </w:rPr>
        <w:t>年0</w:t>
      </w:r>
      <w:r>
        <w:rPr>
          <w:rFonts w:hint="eastAsia" w:ascii="华文中宋" w:hAnsi="华文中宋" w:eastAsia="华文中宋" w:cs="宋体"/>
          <w:color w:val="333333"/>
          <w:sz w:val="28"/>
          <w:szCs w:val="28"/>
          <w:lang w:val="en-US" w:eastAsia="zh-CN"/>
        </w:rPr>
        <w:t>8</w:t>
      </w:r>
      <w:r>
        <w:rPr>
          <w:rFonts w:hint="eastAsia" w:ascii="华文中宋" w:hAnsi="华文中宋" w:eastAsia="华文中宋" w:cs="宋体"/>
          <w:color w:val="333333"/>
          <w:sz w:val="28"/>
          <w:szCs w:val="28"/>
        </w:rPr>
        <w:t>月</w:t>
      </w:r>
      <w:r>
        <w:rPr>
          <w:rFonts w:hint="eastAsia" w:ascii="华文中宋" w:hAnsi="华文中宋" w:eastAsia="华文中宋" w:cs="宋体"/>
          <w:color w:val="333333"/>
          <w:sz w:val="28"/>
          <w:szCs w:val="28"/>
          <w:lang w:val="en-US" w:eastAsia="zh-CN"/>
        </w:rPr>
        <w:t>27</w:t>
      </w:r>
      <w:r>
        <w:rPr>
          <w:rFonts w:hint="eastAsia" w:ascii="华文中宋" w:hAnsi="华文中宋" w:eastAsia="华文中宋" w:cs="宋体"/>
          <w:color w:val="333333"/>
          <w:sz w:val="28"/>
          <w:szCs w:val="28"/>
        </w:rPr>
        <w:t>日</w:t>
      </w:r>
    </w:p>
    <w:sectPr>
      <w:headerReference r:id="rId3" w:type="default"/>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046E7">
    <w:pPr>
      <w:pStyle w:val="4"/>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C4020"/>
    <w:multiLevelType w:val="singleLevel"/>
    <w:tmpl w:val="8E8C4020"/>
    <w:lvl w:ilvl="0" w:tentative="0">
      <w:start w:val="4"/>
      <w:numFmt w:val="chineseCounting"/>
      <w:suff w:val="nothing"/>
      <w:lvlText w:val="（%1）"/>
      <w:lvlJc w:val="left"/>
      <w:rPr>
        <w:rFonts w:hint="eastAsia"/>
      </w:rPr>
    </w:lvl>
  </w:abstractNum>
  <w:abstractNum w:abstractNumId="1">
    <w:nsid w:val="E0A8ACB6"/>
    <w:multiLevelType w:val="singleLevel"/>
    <w:tmpl w:val="E0A8ACB6"/>
    <w:lvl w:ilvl="0" w:tentative="0">
      <w:start w:val="3"/>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567"/>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NWZkNzI2NmM2OWM0NjU2MTg1YzMwMmY0NTIwZWQifQ=="/>
  </w:docVars>
  <w:rsids>
    <w:rsidRoot w:val="39890658"/>
    <w:rsid w:val="00147B15"/>
    <w:rsid w:val="002C44AD"/>
    <w:rsid w:val="00413632"/>
    <w:rsid w:val="00544C41"/>
    <w:rsid w:val="00690A6D"/>
    <w:rsid w:val="008049FF"/>
    <w:rsid w:val="00810415"/>
    <w:rsid w:val="009112CF"/>
    <w:rsid w:val="009D776C"/>
    <w:rsid w:val="00A01764"/>
    <w:rsid w:val="00A95BE3"/>
    <w:rsid w:val="00AE1828"/>
    <w:rsid w:val="00C45B1F"/>
    <w:rsid w:val="00C560DC"/>
    <w:rsid w:val="00DD4065"/>
    <w:rsid w:val="00DF0911"/>
    <w:rsid w:val="00E62960"/>
    <w:rsid w:val="0F7A4C56"/>
    <w:rsid w:val="10622F46"/>
    <w:rsid w:val="106A142E"/>
    <w:rsid w:val="116226A2"/>
    <w:rsid w:val="1AB56AFC"/>
    <w:rsid w:val="21871BD9"/>
    <w:rsid w:val="239517BB"/>
    <w:rsid w:val="2415683A"/>
    <w:rsid w:val="2BD565AF"/>
    <w:rsid w:val="304759FE"/>
    <w:rsid w:val="31457D5D"/>
    <w:rsid w:val="34FB395E"/>
    <w:rsid w:val="38A26930"/>
    <w:rsid w:val="39890658"/>
    <w:rsid w:val="3B335265"/>
    <w:rsid w:val="3B97238B"/>
    <w:rsid w:val="3F695031"/>
    <w:rsid w:val="4C5654FA"/>
    <w:rsid w:val="4C8F279E"/>
    <w:rsid w:val="51B47C31"/>
    <w:rsid w:val="55D658AF"/>
    <w:rsid w:val="5A094924"/>
    <w:rsid w:val="5D751836"/>
    <w:rsid w:val="62713E4E"/>
    <w:rsid w:val="62E7104D"/>
    <w:rsid w:val="636A0F24"/>
    <w:rsid w:val="68AE465C"/>
    <w:rsid w:val="6F3C1728"/>
    <w:rsid w:val="74200C33"/>
    <w:rsid w:val="770F0EBB"/>
    <w:rsid w:val="77B35F7C"/>
    <w:rsid w:val="77FD5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paragraph" w:styleId="6">
    <w:name w:val="Title"/>
    <w:basedOn w:val="1"/>
    <w:next w:val="1"/>
    <w:link w:val="25"/>
    <w:qFormat/>
    <w:uiPriority w:val="0"/>
    <w:pPr>
      <w:spacing w:before="240" w:after="60"/>
      <w:jc w:val="center"/>
      <w:outlineLvl w:val="0"/>
    </w:pPr>
    <w:rPr>
      <w:rFonts w:ascii="Cambria" w:hAnsi="Cambria" w:cs="黑体"/>
      <w:b/>
      <w:bCs/>
      <w:kern w:val="0"/>
      <w:sz w:val="32"/>
      <w:szCs w:val="32"/>
    </w:rPr>
  </w:style>
  <w:style w:type="character" w:styleId="9">
    <w:name w:val="FollowedHyperlink"/>
    <w:basedOn w:val="8"/>
    <w:qFormat/>
    <w:uiPriority w:val="0"/>
    <w:rPr>
      <w:color w:val="447799"/>
      <w:u w:val="none"/>
    </w:rPr>
  </w:style>
  <w:style w:type="character" w:styleId="10">
    <w:name w:val="Hyperlink"/>
    <w:basedOn w:val="8"/>
    <w:qFormat/>
    <w:uiPriority w:val="0"/>
    <w:rPr>
      <w:color w:val="447799"/>
      <w:u w:val="none"/>
    </w:rPr>
  </w:style>
  <w:style w:type="character" w:customStyle="1" w:styleId="11">
    <w:name w:val="icon14"/>
    <w:basedOn w:val="8"/>
    <w:qFormat/>
    <w:uiPriority w:val="0"/>
  </w:style>
  <w:style w:type="character" w:customStyle="1" w:styleId="12">
    <w:name w:val="icon15"/>
    <w:basedOn w:val="8"/>
    <w:qFormat/>
    <w:uiPriority w:val="0"/>
  </w:style>
  <w:style w:type="character" w:customStyle="1" w:styleId="13">
    <w:name w:val="icon16"/>
    <w:basedOn w:val="8"/>
    <w:qFormat/>
    <w:uiPriority w:val="0"/>
  </w:style>
  <w:style w:type="character" w:customStyle="1" w:styleId="14">
    <w:name w:val="icon17"/>
    <w:basedOn w:val="8"/>
    <w:qFormat/>
    <w:uiPriority w:val="0"/>
  </w:style>
  <w:style w:type="character" w:customStyle="1" w:styleId="15">
    <w:name w:val="icon"/>
    <w:basedOn w:val="8"/>
    <w:qFormat/>
    <w:uiPriority w:val="0"/>
  </w:style>
  <w:style w:type="character" w:customStyle="1" w:styleId="16">
    <w:name w:val="icon1"/>
    <w:basedOn w:val="8"/>
    <w:qFormat/>
    <w:uiPriority w:val="0"/>
  </w:style>
  <w:style w:type="character" w:customStyle="1" w:styleId="17">
    <w:name w:val="icon2"/>
    <w:basedOn w:val="8"/>
    <w:qFormat/>
    <w:uiPriority w:val="0"/>
  </w:style>
  <w:style w:type="character" w:customStyle="1" w:styleId="18">
    <w:name w:val="icon3"/>
    <w:basedOn w:val="8"/>
    <w:qFormat/>
    <w:uiPriority w:val="0"/>
  </w:style>
  <w:style w:type="character" w:customStyle="1" w:styleId="19">
    <w:name w:val="icon9"/>
    <w:basedOn w:val="8"/>
    <w:qFormat/>
    <w:uiPriority w:val="0"/>
  </w:style>
  <w:style w:type="character" w:customStyle="1" w:styleId="20">
    <w:name w:val="icon10"/>
    <w:basedOn w:val="8"/>
    <w:qFormat/>
    <w:uiPriority w:val="0"/>
  </w:style>
  <w:style w:type="character" w:customStyle="1" w:styleId="21">
    <w:name w:val="icon11"/>
    <w:basedOn w:val="8"/>
    <w:qFormat/>
    <w:uiPriority w:val="0"/>
  </w:style>
  <w:style w:type="character" w:customStyle="1" w:styleId="22">
    <w:name w:val="icon12"/>
    <w:basedOn w:val="8"/>
    <w:qFormat/>
    <w:uiPriority w:val="0"/>
  </w:style>
  <w:style w:type="character" w:customStyle="1" w:styleId="23">
    <w:name w:val="icon13"/>
    <w:basedOn w:val="8"/>
    <w:qFormat/>
    <w:uiPriority w:val="0"/>
  </w:style>
  <w:style w:type="character" w:customStyle="1" w:styleId="24">
    <w:name w:val="标题 Char"/>
    <w:basedOn w:val="8"/>
    <w:link w:val="6"/>
    <w:qFormat/>
    <w:uiPriority w:val="0"/>
    <w:rPr>
      <w:rFonts w:ascii="Cambria" w:hAnsi="Cambria" w:cs="黑体"/>
      <w:b/>
      <w:bCs/>
      <w:sz w:val="32"/>
      <w:szCs w:val="32"/>
    </w:rPr>
  </w:style>
  <w:style w:type="character" w:customStyle="1" w:styleId="25">
    <w:name w:val="标题 Char1"/>
    <w:basedOn w:val="8"/>
    <w:link w:val="6"/>
    <w:qFormat/>
    <w:uiPriority w:val="0"/>
    <w:rPr>
      <w:rFonts w:eastAsia="宋体" w:asciiTheme="majorHAnsi" w:hAnsiTheme="majorHAnsi" w:cstheme="majorBidi"/>
      <w:b/>
      <w:bCs/>
      <w:kern w:val="2"/>
      <w:sz w:val="32"/>
      <w:szCs w:val="32"/>
    </w:rPr>
  </w:style>
  <w:style w:type="character" w:customStyle="1" w:styleId="26">
    <w:name w:val="页眉 Char"/>
    <w:basedOn w:val="8"/>
    <w:link w:val="4"/>
    <w:qFormat/>
    <w:uiPriority w:val="99"/>
    <w:rPr>
      <w:kern w:val="2"/>
      <w:sz w:val="18"/>
      <w:szCs w:val="24"/>
    </w:rPr>
  </w:style>
  <w:style w:type="character" w:customStyle="1" w:styleId="27">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6984</Words>
  <Characters>7157</Characters>
  <Lines>54</Lines>
  <Paragraphs>15</Paragraphs>
  <TotalTime>6</TotalTime>
  <ScaleCrop>false</ScaleCrop>
  <LinksUpToDate>false</LinksUpToDate>
  <CharactersWithSpaces>7543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2020-04-07T05:06:00Z</dcterms:created>
  <dc:creator>Administrator</dc:creator>
  <cp:lastModifiedBy>Administrator</cp:lastModifiedBy>
  <dcterms:modified xsi:type="dcterms:W3CDTF">2025-08-25T05:44:00Z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9B56B5ACB8904611BCDA927AD2A7A7E4_13</vt:lpwstr>
  </property>
  <property fmtid="{D5CDD505-2E9C-101B-9397-08002B2CF9AE}" pid="4" name="KSOTemplateDocerSaveRecord">
    <vt:lpwstr>eyJoZGlkIjoiNDMzNWZkNzI2NmM2OWM0NjU2MTg1YzMwMmY0NTIwZWQifQ==</vt:lpwstr>
  </property>
</Properties>
</file>